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湖南省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2020年本科高校“双一流”建设专项资金情况</w:t>
      </w:r>
    </w:p>
    <w:p>
      <w:pPr>
        <w:ind w:right="-733" w:rightChars="-34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注：以下为湖南省2020年下达各高校的专项资金标准，仅供各承办单位参考。</w:t>
      </w:r>
    </w:p>
    <w:tbl>
      <w:tblPr>
        <w:tblStyle w:val="3"/>
        <w:tblW w:w="9374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9"/>
        <w:gridCol w:w="6330"/>
        <w:gridCol w:w="1160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3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省专项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研究生暑期学校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15万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研究生创新论坛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5万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研究生学科院长论坛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5万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研究生人工智能创新大赛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研究生能源装备创新设计大赛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数学建模大赛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研究生电子设计大赛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研究生MPAcc案例大赛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研究生MBA案例大赛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研究生法律案例大赛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研究生英语翻译大赛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10万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研究生辩论赛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15万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研究生篮球联赛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15万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5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智能制造大赛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无承办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8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330" w:type="dxa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MPA案例大赛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  <w:t>无承办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刚艺体-95简">
    <w:panose1 w:val="00020600040101010101"/>
    <w:charset w:val="86"/>
    <w:family w:val="auto"/>
    <w:pitch w:val="default"/>
    <w:sig w:usb0="A00002BF" w:usb1="1A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27B51"/>
    <w:rsid w:val="3542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2020-12-29T11:49:00Z</dcterms:created>
  <dc:creator>User</dc:creator>
  <cp:lastModifiedBy>User</cp:lastModifiedBy>
  <dcterms:modified xsi:type="dcterms:W3CDTF">2020-12-29T12:00:45Z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