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 New Roman" w:eastAsia="宋体"/>
        </w:rPr>
      </w:pPr>
      <w:r>
        <w:rPr>
          <w:rFonts w:hint="eastAsia" w:ascii="宋体" w:eastAsia="宋体"/>
        </w:rPr>
        <w:t xml:space="preserve">附件 </w:t>
      </w:r>
      <w:r>
        <w:rPr>
          <w:rFonts w:hint="eastAsia" w:ascii="Times New Roman" w:eastAsia="宋体"/>
          <w:lang w:val="en-US"/>
        </w:rPr>
        <w:t>1</w:t>
      </w:r>
    </w:p>
    <w:p>
      <w:pPr>
        <w:spacing w:before="59"/>
        <w:ind w:left="596" w:right="1396"/>
        <w:jc w:val="center"/>
        <w:rPr>
          <w:rFonts w:ascii="华文中宋" w:eastAsia="华文中宋"/>
          <w:sz w:val="32"/>
          <w:lang w:val="en-US"/>
        </w:rPr>
      </w:pPr>
    </w:p>
    <w:p>
      <w:pPr>
        <w:ind w:left="595" w:right="1395"/>
        <w:jc w:val="center"/>
        <w:rPr>
          <w:rFonts w:ascii="黑体" w:hAnsi="黑体" w:eastAsia="黑体"/>
          <w:sz w:val="32"/>
          <w:lang w:val="en-US"/>
        </w:rPr>
      </w:pPr>
      <w:r>
        <w:rPr>
          <w:rFonts w:hint="eastAsia" w:ascii="黑体" w:hAnsi="黑体" w:eastAsia="黑体"/>
          <w:sz w:val="32"/>
          <w:lang w:val="en-US"/>
        </w:rPr>
        <w:t>教育专业学位教学案例内容规范和体例格式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line="360" w:lineRule="exact"/>
        <w:ind w:right="878" w:firstLine="464" w:firstLineChars="200"/>
        <w:rPr>
          <w:sz w:val="24"/>
          <w:szCs w:val="24"/>
        </w:rPr>
      </w:pPr>
      <w:r>
        <w:rPr>
          <w:spacing w:val="-4"/>
          <w:sz w:val="24"/>
          <w:szCs w:val="24"/>
        </w:rPr>
        <w:t>案例开发与编写要始终坚持正确政治方向，全面贯彻落实习近平新时代中国特色社会主</w:t>
      </w:r>
      <w:r>
        <w:rPr>
          <w:spacing w:val="-5"/>
          <w:sz w:val="24"/>
          <w:szCs w:val="24"/>
        </w:rPr>
        <w:t>义思想，严格遵守国家法律法规，做到格式、体例、内容等规范。</w:t>
      </w:r>
      <w:r>
        <w:rPr>
          <w:sz w:val="24"/>
          <w:szCs w:val="24"/>
        </w:rPr>
        <w:t xml:space="preserve"> </w:t>
      </w:r>
    </w:p>
    <w:p>
      <w:pPr>
        <w:pStyle w:val="3"/>
        <w:spacing w:beforeLines="50" w:afterLines="50" w:line="400" w:lineRule="exact"/>
        <w:ind w:left="0" w:firstLine="560" w:firstLineChars="200"/>
        <w:rPr>
          <w:rFonts w:ascii="黑体" w:eastAsia="黑体"/>
          <w:szCs w:val="24"/>
        </w:rPr>
      </w:pPr>
      <w:r>
        <w:rPr>
          <w:rFonts w:hint="eastAsia" w:ascii="黑体" w:eastAsia="黑体"/>
          <w:szCs w:val="24"/>
        </w:rPr>
        <w:t>一、版权要求</w:t>
      </w:r>
    </w:p>
    <w:p>
      <w:pPr>
        <w:pStyle w:val="10"/>
        <w:tabs>
          <w:tab w:val="left" w:pos="1408"/>
        </w:tabs>
        <w:spacing w:line="400" w:lineRule="exact"/>
        <w:ind w:left="0" w:firstLine="468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lang w:val="en-US"/>
        </w:rPr>
        <w:t>1.</w:t>
      </w:r>
      <w:r>
        <w:rPr>
          <w:rFonts w:ascii="Times New Roman" w:cs="Times New Roman"/>
          <w:spacing w:val="-3"/>
        </w:rPr>
        <w:t>原创案例，不侵犯任何第三方权利；</w:t>
      </w:r>
    </w:p>
    <w:p>
      <w:pPr>
        <w:pStyle w:val="10"/>
        <w:tabs>
          <w:tab w:val="left" w:pos="1408"/>
        </w:tabs>
        <w:spacing w:line="400" w:lineRule="exact"/>
        <w:ind w:left="0" w:firstLine="472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lang w:val="en-US"/>
        </w:rPr>
        <w:t>2.</w:t>
      </w:r>
      <w:r>
        <w:rPr>
          <w:rFonts w:ascii="Times New Roman" w:cs="Times New Roman"/>
          <w:spacing w:val="-2"/>
        </w:rPr>
        <w:t>未被任何国内外案例库（含中国专业学位案例中心案例库）收录</w:t>
      </w:r>
      <w:r>
        <w:rPr>
          <w:rFonts w:ascii="Times New Roman" w:cs="Times New Roman"/>
          <w:spacing w:val="-1"/>
        </w:rPr>
        <w:t>（</w:t>
      </w:r>
      <w:r>
        <w:rPr>
          <w:rFonts w:ascii="Times New Roman" w:cs="Times New Roman"/>
          <w:spacing w:val="-2"/>
        </w:rPr>
        <w:t>包括评审阶段</w:t>
      </w:r>
      <w:r>
        <w:rPr>
          <w:rFonts w:ascii="Times New Roman" w:cs="Times New Roman"/>
          <w:spacing w:val="-106"/>
        </w:rPr>
        <w:t>）</w:t>
      </w:r>
      <w:r>
        <w:rPr>
          <w:rFonts w:ascii="Times New Roman" w:cs="Times New Roman"/>
        </w:rPr>
        <w:t>，</w:t>
      </w:r>
      <w:r>
        <w:rPr>
          <w:rFonts w:ascii="Times New Roman" w:cs="Times New Roman"/>
          <w:spacing w:val="-3"/>
        </w:rPr>
        <w:t>未在任何期刊发表；</w:t>
      </w:r>
    </w:p>
    <w:p>
      <w:pPr>
        <w:pStyle w:val="10"/>
        <w:tabs>
          <w:tab w:val="left" w:pos="1408"/>
        </w:tabs>
        <w:spacing w:line="400" w:lineRule="exact"/>
        <w:ind w:left="0" w:firstLine="448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lang w:val="en-US"/>
        </w:rPr>
        <w:t>3.</w:t>
      </w:r>
      <w:r>
        <w:rPr>
          <w:rFonts w:ascii="Times New Roman" w:cs="Times New Roman"/>
          <w:spacing w:val="-8"/>
        </w:rPr>
        <w:t>提交的案例成果与已发表内容</w:t>
      </w:r>
      <w:r>
        <w:rPr>
          <w:rFonts w:ascii="Times New Roman" w:cs="Times New Roman"/>
        </w:rPr>
        <w:t>（</w:t>
      </w:r>
      <w:r>
        <w:rPr>
          <w:rFonts w:ascii="Times New Roman" w:cs="Times New Roman"/>
          <w:spacing w:val="-3"/>
        </w:rPr>
        <w:t>含本次提交的其他案例</w:t>
      </w:r>
      <w:r>
        <w:rPr>
          <w:rFonts w:ascii="Times New Roman" w:cs="Times New Roman"/>
          <w:spacing w:val="-59"/>
        </w:rPr>
        <w:t>）</w:t>
      </w:r>
      <w:r>
        <w:rPr>
          <w:rFonts w:ascii="Times New Roman" w:cs="Times New Roman"/>
          <w:spacing w:val="-4"/>
        </w:rPr>
        <w:t>的文字重合率不超过</w:t>
      </w:r>
      <w:r>
        <w:rPr>
          <w:rFonts w:ascii="Times New Roman" w:hAnsi="Times New Roman" w:cs="Times New Roman"/>
        </w:rPr>
        <w:t>20%</w:t>
      </w:r>
      <w:r>
        <w:rPr>
          <w:rFonts w:ascii="Times New Roman" w:cs="Times New Roman"/>
          <w:spacing w:val="-4"/>
        </w:rPr>
        <w:t>。</w:t>
      </w:r>
    </w:p>
    <w:p>
      <w:pPr>
        <w:pStyle w:val="3"/>
        <w:spacing w:beforeLines="50" w:afterLines="50" w:line="400" w:lineRule="exact"/>
        <w:ind w:left="0" w:firstLine="560" w:firstLineChars="200"/>
        <w:rPr>
          <w:rFonts w:ascii="黑体" w:eastAsia="黑体"/>
          <w:szCs w:val="24"/>
        </w:rPr>
      </w:pPr>
      <w:r>
        <w:rPr>
          <w:rFonts w:ascii="黑体" w:eastAsia="黑体"/>
          <w:szCs w:val="24"/>
        </w:rPr>
        <w:t>二、形式要求</w:t>
      </w:r>
    </w:p>
    <w:p>
      <w:pPr>
        <w:pStyle w:val="10"/>
        <w:tabs>
          <w:tab w:val="left" w:pos="1408"/>
        </w:tabs>
        <w:spacing w:line="400" w:lineRule="exact"/>
        <w:ind w:left="0" w:firstLine="468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lang w:val="en-US"/>
        </w:rPr>
        <w:t>1.</w:t>
      </w:r>
      <w:r>
        <w:rPr>
          <w:rFonts w:ascii="Times New Roman" w:cs="Times New Roman"/>
          <w:spacing w:val="-3"/>
        </w:rPr>
        <w:t>符合中国专业学位案例中心文字案例内容规范；</w:t>
      </w:r>
    </w:p>
    <w:p>
      <w:pPr>
        <w:pStyle w:val="10"/>
        <w:tabs>
          <w:tab w:val="left" w:pos="1408"/>
        </w:tabs>
        <w:spacing w:line="400" w:lineRule="exact"/>
        <w:ind w:left="0" w:firstLine="456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  <w:lang w:val="en-US"/>
        </w:rPr>
        <w:t>2.</w:t>
      </w:r>
      <w:r>
        <w:rPr>
          <w:rFonts w:ascii="Times New Roman" w:cs="Times New Roman"/>
          <w:spacing w:val="-6"/>
        </w:rPr>
        <w:t>完整成果应包含案例正文、教学指导手册</w:t>
      </w:r>
      <w:r>
        <w:rPr>
          <w:rFonts w:ascii="Times New Roman" w:cs="Times New Roman"/>
          <w:spacing w:val="-3"/>
        </w:rPr>
        <w:t>。</w:t>
      </w:r>
    </w:p>
    <w:p>
      <w:pPr>
        <w:pStyle w:val="3"/>
        <w:spacing w:beforeLines="50" w:afterLines="50" w:line="400" w:lineRule="exact"/>
        <w:ind w:left="0" w:firstLine="560" w:firstLineChars="200"/>
        <w:rPr>
          <w:rFonts w:ascii="黑体" w:eastAsia="黑体"/>
          <w:szCs w:val="24"/>
        </w:rPr>
      </w:pPr>
      <w:r>
        <w:rPr>
          <w:rFonts w:hint="eastAsia" w:ascii="黑体" w:eastAsia="黑体"/>
          <w:szCs w:val="24"/>
        </w:rPr>
        <w:t>三、内容规范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（一）案例封面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介绍案例名称、专业领域</w:t>
      </w:r>
      <w:r>
        <w:rPr>
          <w:rFonts w:ascii="Times New Roman" w:eastAsia="Times New Roman"/>
          <w:sz w:val="24"/>
          <w:szCs w:val="24"/>
        </w:rPr>
        <w:t>/</w:t>
      </w:r>
      <w:r>
        <w:rPr>
          <w:sz w:val="24"/>
          <w:szCs w:val="24"/>
        </w:rPr>
        <w:t>方向、适用课程、作者姓名、</w:t>
      </w:r>
      <w:r>
        <w:rPr>
          <w:rFonts w:hint="eastAsia"/>
          <w:sz w:val="24"/>
          <w:szCs w:val="24"/>
          <w:lang w:val="en-US"/>
        </w:rPr>
        <w:t>专业领域所在学院</w:t>
      </w:r>
      <w:r>
        <w:rPr>
          <w:sz w:val="24"/>
          <w:szCs w:val="24"/>
        </w:rPr>
        <w:t>等。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（二）案例正文</w:t>
      </w:r>
    </w:p>
    <w:p>
      <w:pPr>
        <w:pStyle w:val="5"/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一般包括案例名称、中英文摘要及关键词、作者和版权相关信息、案例正文等内容，篇幅请勿过长或过短（一般不少于</w:t>
      </w:r>
      <w:r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cs="Times New Roman"/>
          <w:sz w:val="24"/>
          <w:szCs w:val="24"/>
        </w:rPr>
        <w:t>字，附录计入字数）。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1.案例名称</w:t>
      </w:r>
      <w:r>
        <w:rPr>
          <w:rFonts w:ascii="Times New Roman" w:hAnsi="Times New Roman" w:cs="Times New Roman"/>
          <w:b/>
        </w:rPr>
        <w:t>。</w:t>
      </w:r>
      <w:r>
        <w:rPr>
          <w:rFonts w:ascii="Times New Roman" w:cs="Times New Roman"/>
          <w:sz w:val="24"/>
          <w:szCs w:val="24"/>
        </w:rPr>
        <w:t>以明确清晰、简洁易懂的中性词语为宜。一般应包含有关主体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/>
          <w:sz w:val="24"/>
          <w:szCs w:val="24"/>
        </w:rPr>
        <w:t>单位的真实名称，如真实名称需要做匿名化处理的请在首页脚注处说明。</w:t>
      </w:r>
    </w:p>
    <w:p>
      <w:pPr>
        <w:pStyle w:val="10"/>
        <w:tabs>
          <w:tab w:val="left" w:pos="1458"/>
        </w:tabs>
        <w:spacing w:line="400" w:lineRule="exact"/>
        <w:ind w:left="0" w:firstLine="482" w:firstLineChars="20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lang w:val="en-US"/>
        </w:rPr>
        <w:t>2.中英文摘要及关键词。</w:t>
      </w:r>
      <w:r>
        <w:rPr>
          <w:rFonts w:ascii="Times New Roman" w:cs="Times New Roman"/>
          <w:spacing w:val="-6"/>
        </w:rPr>
        <w:t>摘要是对案例内容的简要描述，一般不作评论分析，</w:t>
      </w:r>
      <w:r>
        <w:rPr>
          <w:rFonts w:ascii="Times New Roman" w:hAnsi="Times New Roman" w:eastAsia="Times New Roman" w:cs="Times New Roman"/>
          <w:spacing w:val="-8"/>
        </w:rPr>
        <w:t>300</w:t>
      </w:r>
      <w:r>
        <w:rPr>
          <w:rFonts w:ascii="Times New Roman" w:cs="Times New Roman"/>
          <w:spacing w:val="-3"/>
        </w:rPr>
        <w:t>字左右；关键词</w:t>
      </w:r>
      <w:r>
        <w:rPr>
          <w:rFonts w:ascii="Times New Roman" w:hAnsi="Times New Roman" w:eastAsia="Times New Roman" w:cs="Times New Roman"/>
        </w:rPr>
        <w:t>3-5</w:t>
      </w:r>
      <w:r>
        <w:rPr>
          <w:rFonts w:ascii="Times New Roman" w:cs="Times New Roman"/>
          <w:spacing w:val="-3"/>
        </w:rPr>
        <w:t>个。</w:t>
      </w:r>
    </w:p>
    <w:p>
      <w:pPr>
        <w:pStyle w:val="10"/>
        <w:tabs>
          <w:tab w:val="left" w:pos="1458"/>
        </w:tabs>
        <w:spacing w:line="400" w:lineRule="exact"/>
        <w:ind w:left="0" w:firstLine="458" w:firstLineChars="20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bCs/>
          <w:spacing w:val="-6"/>
          <w:lang w:val="en-US"/>
        </w:rPr>
        <w:t>3.</w:t>
      </w:r>
      <w:r>
        <w:rPr>
          <w:rFonts w:ascii="Times New Roman" w:cs="Times New Roman"/>
          <w:b/>
          <w:bCs/>
          <w:spacing w:val="-6"/>
        </w:rPr>
        <w:t>作者和版权相关信息。</w:t>
      </w:r>
      <w:r>
        <w:rPr>
          <w:rFonts w:ascii="Times New Roman" w:cs="Times New Roman"/>
          <w:spacing w:val="-6"/>
        </w:rPr>
        <w:t>介绍作者姓名、工作单位、案例版权说明等。</w:t>
      </w:r>
    </w:p>
    <w:p>
      <w:pPr>
        <w:pStyle w:val="10"/>
        <w:tabs>
          <w:tab w:val="left" w:pos="1458"/>
        </w:tabs>
        <w:spacing w:line="400" w:lineRule="exact"/>
        <w:ind w:left="0" w:firstLine="458" w:firstLineChars="20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bCs/>
          <w:spacing w:val="-6"/>
          <w:lang w:val="en-US"/>
        </w:rPr>
        <w:t>4.</w:t>
      </w:r>
      <w:r>
        <w:rPr>
          <w:rFonts w:ascii="Times New Roman" w:cs="Times New Roman"/>
          <w:b/>
          <w:bCs/>
          <w:spacing w:val="-6"/>
        </w:rPr>
        <w:t>案例正文。</w:t>
      </w:r>
      <w:r>
        <w:rPr>
          <w:rFonts w:ascii="Times New Roman" w:cs="Times New Roman"/>
          <w:spacing w:val="-6"/>
        </w:rPr>
        <w:t>内容为基于客观事实的真实描述，一般应包含必要的时间、地点、主要人物、关键事件等信息。表述完整准确、条理清晰、决策点突出，数据真实可靠。</w:t>
      </w:r>
    </w:p>
    <w:p>
      <w:pPr>
        <w:pStyle w:val="10"/>
        <w:tabs>
          <w:tab w:val="left" w:pos="1458"/>
        </w:tabs>
        <w:spacing w:line="400" w:lineRule="exact"/>
        <w:ind w:left="0" w:firstLine="458" w:firstLineChars="200"/>
        <w:jc w:val="both"/>
      </w:pPr>
      <w:r>
        <w:rPr>
          <w:rFonts w:ascii="Times New Roman" w:hAnsi="Times New Roman" w:cs="Times New Roman"/>
          <w:b/>
          <w:bCs/>
          <w:spacing w:val="-6"/>
          <w:lang w:val="en-US"/>
        </w:rPr>
        <w:t>5.</w:t>
      </w:r>
      <w:r>
        <w:rPr>
          <w:rFonts w:ascii="Times New Roman" w:cs="Times New Roman"/>
          <w:b/>
          <w:bCs/>
          <w:spacing w:val="-6"/>
        </w:rPr>
        <w:t>其他材料。</w:t>
      </w:r>
      <w:r>
        <w:rPr>
          <w:rFonts w:ascii="Times New Roman" w:cs="Times New Roman"/>
          <w:spacing w:val="-6"/>
        </w:rPr>
        <w:t>脚注：对正文中某些技术问题、必要情况进行注释，应附于有关内容同页下端，用横线与正文断开。图表：按顺序编号并设标题，置于正文中合适位置。其中，图题</w:t>
      </w:r>
      <w:r>
        <w:rPr>
          <w:rFonts w:hint="eastAsia"/>
          <w:spacing w:val="-6"/>
        </w:rPr>
        <w:t>应在图的下方，表头应在表的上方。附录：有助于理解且不便在正文中体现的数据、图表及相关背景资料等</w:t>
      </w:r>
      <w:r>
        <w:rPr>
          <w:spacing w:val="-3"/>
        </w:rPr>
        <w:t>。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（三）教学指导手册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教学指导手册应与案例正文对应，一般包括教学目标、启发思考题、分析思路、案例分析、课堂设计、要点汇总等内容。篇幅请勿过长或过短。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>
        <w:rPr>
          <w:rFonts w:ascii="Times New Roman" w:cs="Times New Roman"/>
          <w:b/>
          <w:bCs/>
          <w:sz w:val="24"/>
          <w:szCs w:val="24"/>
        </w:rPr>
        <w:t>教学目标。</w:t>
      </w:r>
      <w:r>
        <w:rPr>
          <w:rFonts w:ascii="Times New Roman" w:cs="Times New Roman"/>
          <w:sz w:val="24"/>
          <w:szCs w:val="24"/>
        </w:rPr>
        <w:t>包含教学用途、授课对象及适用课程等。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>
        <w:rPr>
          <w:rFonts w:ascii="Times New Roman" w:cs="Times New Roman"/>
          <w:b/>
          <w:bCs/>
          <w:sz w:val="24"/>
          <w:szCs w:val="24"/>
        </w:rPr>
        <w:t>启发思考题。</w:t>
      </w:r>
      <w:r>
        <w:rPr>
          <w:rFonts w:ascii="Times New Roman" w:cs="Times New Roman"/>
          <w:sz w:val="24"/>
          <w:szCs w:val="24"/>
        </w:rPr>
        <w:t>根据教学目标和案例内容提出有针对性的课堂讨论问题，</w:t>
      </w:r>
      <w:r>
        <w:rPr>
          <w:rFonts w:ascii="Times New Roman" w:hAnsi="Times New Roman" w:cs="Times New Roman"/>
          <w:sz w:val="24"/>
          <w:szCs w:val="24"/>
        </w:rPr>
        <w:t>3-5</w:t>
      </w:r>
      <w:r>
        <w:rPr>
          <w:rFonts w:ascii="Times New Roman" w:cs="Times New Roman"/>
          <w:sz w:val="24"/>
          <w:szCs w:val="24"/>
        </w:rPr>
        <w:t>题为宜。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>
        <w:rPr>
          <w:rFonts w:ascii="Times New Roman" w:cs="Times New Roman"/>
          <w:b/>
          <w:bCs/>
          <w:sz w:val="24"/>
          <w:szCs w:val="24"/>
        </w:rPr>
        <w:t>分析思路。</w:t>
      </w:r>
      <w:r>
        <w:rPr>
          <w:rFonts w:ascii="Times New Roman" w:cs="Times New Roman"/>
          <w:sz w:val="24"/>
          <w:szCs w:val="24"/>
        </w:rPr>
        <w:t>展示案例分析的逻辑结构，体现案例问题、相关知识点和理论内在的逻辑关系。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>
        <w:rPr>
          <w:rFonts w:ascii="Times New Roman" w:cs="Times New Roman"/>
          <w:b/>
          <w:bCs/>
          <w:sz w:val="24"/>
          <w:szCs w:val="24"/>
        </w:rPr>
        <w:t>案例分析。</w:t>
      </w:r>
      <w:r>
        <w:rPr>
          <w:rFonts w:ascii="Times New Roman" w:cs="Times New Roman"/>
          <w:sz w:val="24"/>
          <w:szCs w:val="24"/>
        </w:rPr>
        <w:t>基于启发思考题，选取适宜的理论、分析方法和工具对案例进行分析。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r>
        <w:rPr>
          <w:rFonts w:ascii="Times New Roman" w:cs="Times New Roman"/>
          <w:b/>
          <w:bCs/>
          <w:sz w:val="24"/>
          <w:szCs w:val="24"/>
        </w:rPr>
        <w:t>课堂设计。</w:t>
      </w:r>
      <w:r>
        <w:rPr>
          <w:rFonts w:ascii="Times New Roman" w:cs="Times New Roman"/>
          <w:sz w:val="24"/>
          <w:szCs w:val="24"/>
        </w:rPr>
        <w:t>包括时间安排、教学形式与环节设计等，必要时可附有板书计划。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6.</w:t>
      </w:r>
      <w:r>
        <w:rPr>
          <w:rFonts w:ascii="Times New Roman" w:cs="Times New Roman"/>
          <w:b/>
          <w:bCs/>
          <w:sz w:val="24"/>
          <w:szCs w:val="24"/>
        </w:rPr>
        <w:t>要点汇总。</w:t>
      </w:r>
      <w:r>
        <w:rPr>
          <w:rFonts w:ascii="Times New Roman" w:cs="Times New Roman"/>
          <w:sz w:val="24"/>
          <w:szCs w:val="24"/>
        </w:rPr>
        <w:t>梳理案例涉及的主要教学知识点、总结和淬炼隐含的案例启示等。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7.</w:t>
      </w:r>
      <w:r>
        <w:rPr>
          <w:rFonts w:ascii="Times New Roman" w:cs="Times New Roman"/>
          <w:b/>
          <w:bCs/>
          <w:sz w:val="24"/>
          <w:szCs w:val="24"/>
        </w:rPr>
        <w:t>其他说明（酌情）。</w:t>
      </w:r>
      <w:r>
        <w:rPr>
          <w:rFonts w:ascii="Times New Roman" w:cs="Times New Roman"/>
          <w:sz w:val="24"/>
          <w:szCs w:val="24"/>
        </w:rPr>
        <w:t>包括推荐阅读的相关资料、辅助教学材料、案例后续进展等。</w:t>
      </w:r>
    </w:p>
    <w:p>
      <w:pPr>
        <w:pStyle w:val="3"/>
        <w:spacing w:beforeLines="50" w:afterLines="50" w:line="400" w:lineRule="exact"/>
        <w:ind w:left="0" w:firstLine="560" w:firstLineChars="200"/>
        <w:rPr>
          <w:rFonts w:ascii="黑体" w:eastAsia="黑体"/>
          <w:szCs w:val="24"/>
        </w:rPr>
      </w:pPr>
      <w:r>
        <w:rPr>
          <w:rFonts w:hint="eastAsia" w:ascii="黑体" w:eastAsia="黑体"/>
          <w:szCs w:val="24"/>
        </w:rPr>
        <w:t>四、体例格式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案例正文、教学指导手册应按照下述格式分别排版：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（一）题目</w:t>
      </w:r>
      <w:r>
        <w:rPr>
          <w:w w:val="99"/>
          <w:sz w:val="24"/>
          <w:szCs w:val="24"/>
        </w:rPr>
        <w:t xml:space="preserve"> 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采用宋体、三号、加粗。 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（二）摘要和关键词</w:t>
      </w:r>
      <w:r>
        <w:rPr>
          <w:w w:val="99"/>
          <w:sz w:val="24"/>
          <w:szCs w:val="24"/>
        </w:rPr>
        <w:t xml:space="preserve"> </w:t>
      </w:r>
    </w:p>
    <w:p>
      <w:pPr>
        <w:pStyle w:val="5"/>
        <w:spacing w:line="400" w:lineRule="exact"/>
        <w:ind w:firstLine="412" w:firstLineChars="200"/>
        <w:rPr>
          <w:sz w:val="24"/>
          <w:szCs w:val="24"/>
        </w:rPr>
      </w:pPr>
      <w:r>
        <w:rPr>
          <w:spacing w:val="-17"/>
          <w:sz w:val="24"/>
          <w:szCs w:val="24"/>
        </w:rPr>
        <w:t>采用宋体、小四，“摘要”和“关键词”后需跟冒号，关键词之间用“、”隔开；英文摘</w:t>
      </w:r>
      <w:r>
        <w:rPr>
          <w:spacing w:val="-8"/>
          <w:sz w:val="24"/>
          <w:szCs w:val="24"/>
        </w:rPr>
        <w:t>要和关键词应分别置于中文摘要和关键词之后。</w:t>
      </w:r>
      <w:r>
        <w:rPr>
          <w:sz w:val="24"/>
          <w:szCs w:val="24"/>
        </w:rPr>
        <w:t xml:space="preserve"> 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（三）正文</w:t>
      </w:r>
      <w:r>
        <w:rPr>
          <w:w w:val="99"/>
          <w:sz w:val="24"/>
          <w:szCs w:val="24"/>
        </w:rPr>
        <w:t xml:space="preserve"> </w:t>
      </w:r>
    </w:p>
    <w:p>
      <w:pPr>
        <w:pStyle w:val="5"/>
        <w:spacing w:line="400" w:lineRule="exact"/>
        <w:ind w:firstLine="624" w:firstLineChars="300"/>
        <w:rPr>
          <w:sz w:val="24"/>
          <w:szCs w:val="24"/>
        </w:rPr>
      </w:pPr>
      <w:r>
        <w:rPr>
          <w:spacing w:val="-16"/>
          <w:sz w:val="24"/>
          <w:szCs w:val="24"/>
        </w:rPr>
        <w:t>一级标题采用宋体、加粗、四号，二级标题采用宋体、加粗、小四，三级标题采用宋体、</w:t>
      </w:r>
      <w:r>
        <w:rPr>
          <w:spacing w:val="-3"/>
          <w:sz w:val="24"/>
          <w:szCs w:val="24"/>
        </w:rPr>
        <w:t>小四；各级标题采用阿拉伯数字编号（如：</w:t>
      </w:r>
      <w:r>
        <w:rPr>
          <w:rFonts w:ascii="Times New Roman" w:hAnsi="Times New Roman" w:eastAsia="Times New Roman"/>
          <w:sz w:val="24"/>
          <w:szCs w:val="24"/>
        </w:rPr>
        <w:t>1</w:t>
      </w:r>
      <w:r>
        <w:rPr>
          <w:spacing w:val="-55"/>
          <w:sz w:val="24"/>
          <w:szCs w:val="24"/>
        </w:rPr>
        <w:t>．；</w:t>
      </w:r>
      <w:r>
        <w:rPr>
          <w:rFonts w:ascii="Times New Roman" w:hAnsi="Times New Roman" w:eastAsia="Times New Roman"/>
          <w:spacing w:val="-1"/>
          <w:sz w:val="24"/>
          <w:szCs w:val="24"/>
        </w:rPr>
        <w:t>2</w:t>
      </w:r>
      <w:r>
        <w:rPr>
          <w:spacing w:val="-55"/>
          <w:sz w:val="24"/>
          <w:szCs w:val="24"/>
        </w:rPr>
        <w:t>．；</w:t>
      </w:r>
      <w:r>
        <w:rPr>
          <w:rFonts w:ascii="Times New Roman" w:hAnsi="Times New Roman" w:eastAsia="Times New Roman"/>
          <w:spacing w:val="-1"/>
          <w:sz w:val="24"/>
          <w:szCs w:val="24"/>
        </w:rPr>
        <w:t>3</w:t>
      </w:r>
      <w:r>
        <w:rPr>
          <w:spacing w:val="-54"/>
          <w:sz w:val="24"/>
          <w:szCs w:val="24"/>
        </w:rPr>
        <w:t>．；</w:t>
      </w:r>
      <w:r>
        <w:rPr>
          <w:rFonts w:ascii="Times New Roman" w:hAnsi="Times New Roman" w:eastAsia="Times New Roman"/>
          <w:spacing w:val="-2"/>
          <w:sz w:val="24"/>
          <w:szCs w:val="24"/>
        </w:rPr>
        <w:t>…</w:t>
      </w:r>
      <w:r>
        <w:rPr>
          <w:spacing w:val="-3"/>
          <w:sz w:val="24"/>
          <w:szCs w:val="24"/>
        </w:rPr>
        <w:t>，</w:t>
      </w:r>
      <w:r>
        <w:rPr>
          <w:rFonts w:ascii="Times New Roman" w:hAnsi="Times New Roman" w:eastAsia="Times New Roman"/>
          <w:sz w:val="24"/>
          <w:szCs w:val="24"/>
        </w:rPr>
        <w:t>1</w:t>
      </w:r>
      <w:r>
        <w:rPr>
          <w:rFonts w:ascii="Times New Roman" w:hAnsi="Times New Roman" w:eastAsia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/>
          <w:spacing w:val="-1"/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； </w:t>
      </w:r>
      <w:r>
        <w:rPr>
          <w:rFonts w:ascii="Times New Roman" w:hAnsi="Times New Roman" w:eastAsia="Times New Roman"/>
          <w:sz w:val="24"/>
          <w:szCs w:val="24"/>
        </w:rPr>
        <w:t>1</w:t>
      </w:r>
      <w:r>
        <w:rPr>
          <w:rFonts w:ascii="Times New Roman" w:hAnsi="Times New Roman" w:eastAsia="Times New Roman"/>
          <w:spacing w:val="-3"/>
          <w:sz w:val="24"/>
          <w:szCs w:val="24"/>
        </w:rPr>
        <w:t>.</w:t>
      </w:r>
      <w:r>
        <w:rPr>
          <w:rFonts w:ascii="Times New Roman" w:hAnsi="Times New Roman" w:eastAsia="Times New Roman"/>
          <w:spacing w:val="-1"/>
          <w:sz w:val="24"/>
          <w:szCs w:val="24"/>
        </w:rPr>
        <w:t>2</w:t>
      </w:r>
      <w:r>
        <w:rPr>
          <w:spacing w:val="-3"/>
          <w:sz w:val="24"/>
          <w:szCs w:val="24"/>
        </w:rPr>
        <w:t>；</w:t>
      </w:r>
      <w:r>
        <w:rPr>
          <w:rFonts w:ascii="Times New Roman" w:hAnsi="Times New Roman" w:eastAsia="Times New Roman"/>
          <w:sz w:val="24"/>
          <w:szCs w:val="24"/>
        </w:rPr>
        <w:t>1</w:t>
      </w:r>
      <w:r>
        <w:rPr>
          <w:rFonts w:ascii="Times New Roman" w:hAnsi="Times New Roman" w:eastAsia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/>
          <w:spacing w:val="-1"/>
          <w:sz w:val="24"/>
          <w:szCs w:val="24"/>
        </w:rPr>
        <w:t>3</w:t>
      </w:r>
      <w:r>
        <w:rPr>
          <w:spacing w:val="-3"/>
          <w:sz w:val="24"/>
          <w:szCs w:val="24"/>
        </w:rPr>
        <w:t>；</w:t>
      </w:r>
      <w:r>
        <w:rPr>
          <w:rFonts w:ascii="Times New Roman" w:hAnsi="Times New Roman" w:eastAsia="Times New Roman"/>
          <w:spacing w:val="-2"/>
          <w:sz w:val="24"/>
          <w:szCs w:val="24"/>
        </w:rPr>
        <w:t>…</w:t>
      </w:r>
      <w:r>
        <w:rPr>
          <w:spacing w:val="-107"/>
          <w:sz w:val="24"/>
          <w:szCs w:val="24"/>
        </w:rPr>
        <w:t>）</w:t>
      </w:r>
      <w:r>
        <w:rPr>
          <w:spacing w:val="-3"/>
          <w:sz w:val="24"/>
          <w:szCs w:val="24"/>
        </w:rPr>
        <w:t>；</w:t>
      </w:r>
      <w:r>
        <w:rPr>
          <w:sz w:val="24"/>
          <w:szCs w:val="24"/>
        </w:rPr>
        <w:t xml:space="preserve"> 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正文采用宋体、小四，</w:t>
      </w:r>
      <w:bookmarkStart w:id="2" w:name="_GoBack"/>
      <w:bookmarkEnd w:id="2"/>
      <w:r>
        <w:rPr>
          <w:sz w:val="24"/>
          <w:szCs w:val="24"/>
        </w:rPr>
        <w:t xml:space="preserve">脚注采用楷体、小五； 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数字和英文均采用 </w:t>
      </w:r>
      <w:r>
        <w:rPr>
          <w:rFonts w:ascii="Times New Roman" w:eastAsia="Times New Roman"/>
          <w:sz w:val="24"/>
          <w:szCs w:val="24"/>
        </w:rPr>
        <w:t>Times New Roman</w:t>
      </w:r>
      <w:r>
        <w:rPr>
          <w:sz w:val="24"/>
          <w:szCs w:val="24"/>
        </w:rPr>
        <w:t>。</w:t>
      </w:r>
    </w:p>
    <w:p>
      <w:pPr>
        <w:pStyle w:val="5"/>
        <w:spacing w:line="400" w:lineRule="exact"/>
        <w:ind w:firstLine="428" w:firstLineChars="200"/>
        <w:rPr>
          <w:sz w:val="24"/>
          <w:szCs w:val="24"/>
        </w:rPr>
      </w:pPr>
      <w:r>
        <w:rPr>
          <w:spacing w:val="-13"/>
          <w:sz w:val="24"/>
          <w:szCs w:val="24"/>
        </w:rPr>
        <w:t>正文采用</w:t>
      </w:r>
      <w:r>
        <w:rPr>
          <w:rFonts w:ascii="Times New Roman" w:eastAsia="Times New Roman"/>
          <w:sz w:val="24"/>
          <w:szCs w:val="24"/>
        </w:rPr>
        <w:t xml:space="preserve">1.25 </w:t>
      </w:r>
      <w:r>
        <w:rPr>
          <w:spacing w:val="-8"/>
          <w:sz w:val="24"/>
          <w:szCs w:val="24"/>
        </w:rPr>
        <w:t>倍行距，段前与段后间距各</w:t>
      </w:r>
      <w:r>
        <w:rPr>
          <w:rFonts w:ascii="Times New Roman" w:eastAsia="Times New Roman"/>
          <w:sz w:val="24"/>
          <w:szCs w:val="24"/>
        </w:rPr>
        <w:t xml:space="preserve">0.25 </w:t>
      </w:r>
      <w:r>
        <w:rPr>
          <w:spacing w:val="-2"/>
          <w:sz w:val="24"/>
          <w:szCs w:val="24"/>
        </w:rPr>
        <w:t xml:space="preserve">行。 </w:t>
      </w:r>
    </w:p>
    <w:p>
      <w:pPr>
        <w:tabs>
          <w:tab w:val="left" w:pos="720"/>
        </w:tabs>
        <w:spacing w:line="360" w:lineRule="exact"/>
        <w:ind w:firstLine="241" w:firstLineChars="10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（</w:t>
      </w:r>
      <w:r>
        <w:rPr>
          <w:rFonts w:hint="eastAsia" w:ascii="Times New Roman" w:hAnsi="Times New Roman" w:eastAsia="宋体" w:cs="Times New Roman"/>
          <w:b/>
          <w:lang w:val="en-US"/>
        </w:rPr>
        <w:t>四</w:t>
      </w:r>
      <w:r>
        <w:rPr>
          <w:rFonts w:ascii="Times New Roman" w:hAnsi="Times New Roman" w:eastAsia="宋体" w:cs="Times New Roman"/>
          <w:b/>
        </w:rPr>
        <w:t>）文献引注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案例中的文中注释和推荐阅读文献的标注方式，参照GB/T7714—2015。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 专著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主要责任者. 题名: 其他题名信息[文献类型标识/文献载体标识]. 其他责任者. 版本项. 出版地: 出版者, 出版年: 引文页码[引用日期]．获取和访问路径．数字对象唯一标识符．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示例:</w:t>
      </w:r>
    </w:p>
    <w:p>
      <w:pPr>
        <w:tabs>
          <w:tab w:val="left" w:pos="720"/>
        </w:tabs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[1] 陈登原. 国史旧闻: 第1卷[M] .北京: 中华书局, 2000: 29.</w:t>
      </w:r>
    </w:p>
    <w:p>
      <w:pPr>
        <w:tabs>
          <w:tab w:val="left" w:pos="851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[2] 哈里森, 沃尔德伦．经济数学与金融数学[M]. 谢远涛, 译．北京: 中国人民大学出版社, 2012: 235-236.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[3] 北京市政协民族和宗教委员会, 北京联合大学民族与宗教研究所. 历代王朝与民族宗教[M]. 北京: 民族出版社, 2012: 112.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[4]全国信息与文献标准化技术委员会. 信息与文献 都柏林核心元数据元素: GB/T 25100-2010[S]. 北京: 中国标准出版社, 2010: 2-3.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[5] 徐光宪, 玉祥云. 物质结构[M]. 北京: 科学出版社, 2010.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[6] 顾炎武. 昌平山水记；京东考古录[M]. 北京：北京古籍出版社, 1992. </w:t>
      </w:r>
    </w:p>
    <w:p>
      <w:pPr>
        <w:tabs>
          <w:tab w:val="left" w:pos="720"/>
        </w:tabs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[7] 王夫之. 宋论[M]. 刻本. 金陵: 湘乡曾国荃, 1865（清同治四年）.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[8] 牛志明，斯温兰德，雷光存．综合湿地管理国际研讨会论文集[C]. 北京：海洋出版社, 2012.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[9] 中国第一历史档案馆, 辽宁省档案馆. 中国明朝档案总汇[A]. 桂林: 广西师范大学出版社, 2001.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[10] 杨保军. 新闻道德论[D/OL]. 北京: 中国人民大学出版社, 2010 [2012-11-01].http://apabi.lib.pku.edu.en/usp/pku/pub.mvc?pid=book.detail&amp;. metaid=m.20101104-BP0-889-1023&amp;.cull= CN.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[11] 赵学功.当代美国外交[M/OL]. 北京: 社会科学文献出版社, 2001[2014-06-11]. http: // www.cadal.zju.edu.en/book/trySinglePage/ 33023884/1.</w:t>
      </w:r>
    </w:p>
    <w:p>
      <w:pPr>
        <w:tabs>
          <w:tab w:val="left" w:pos="851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[12] 同济大学土木工程防灾国家重点实验室. 汶川地震震害研究[M/OL]. 上海: 同济大学出版社, 2011: 5-6 [2013-05-09].http://apabi.lib. pku.edu.cnlusplpkulpub.mvc?pid=book. detail&amp;.metaid=m.20120406-YPT- 889-0010.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[13] 中国造纸学会. 中国造纸年鉴：2003 [M/OL]. 北京：中国轻工业出版社，2003[2014-04-25]. http ://WWW.cadal.zju.edu.cnlbooklviewl25010080.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[14] PEEBLES P Z, Jr. Probability, random variable, and random signal principles[M] . 4th ed. New York: McGraw Hill,  2001.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[15] YUFIN S A. Geoecology and computers: proceedings of the Third International Conference on Advances of Computer Methods in Geotechnical and Geoenvironmental Engineering, Moscow, Russia, February 1-4, 2000[C]. Rotterdam: A. A. Balkema, 2000.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[16]BALDOCK P. Developing early childhood services: past, present and future [M/OL]. [S. l.]: Open University Press, 2011: 105 [2012-11-27]. http:lllib.myilibrary.comlOpen.aspx? id= 312377.</w:t>
      </w:r>
    </w:p>
    <w:p>
      <w:pPr>
        <w:tabs>
          <w:tab w:val="left" w:pos="851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[17] FAN X, SOMMERS C H. Food irradiation research and technology. 2nd ed. Ames, Iowa: Blackwell Publishing, 2013: 25-26[2014-06-26]. http://onlinelibrary. wiley.comldoi/10.100219781118422557.ch21summary.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 专著中的析出文献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析出文献主要责任者.析出文献题名[文献类型标志/文献载体标识].析出文献其他责任者</w:t>
      </w:r>
      <w:r>
        <w:rPr>
          <w:rFonts w:ascii="Cambria Math" w:hAnsi="Cambria Math" w:eastAsia="宋体" w:cs="Cambria Math"/>
        </w:rPr>
        <w:t>∥</w:t>
      </w:r>
      <w:r>
        <w:rPr>
          <w:rFonts w:ascii="Times New Roman" w:hAnsi="Times New Roman" w:eastAsia="宋体" w:cs="Times New Roman"/>
        </w:rPr>
        <w:t>专著主要责任者.专著题名:其他题名信息.版本项.出版地:出版者,出版年:析出文献的页码[引用日期].获取和访问路径.数字对象唯一标识符.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示例：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[1] 周易外传: 卷5[M]</w:t>
      </w:r>
      <w:r>
        <w:rPr>
          <w:rFonts w:ascii="Cambria Math" w:hAnsi="Cambria Math" w:eastAsia="宋体" w:cs="Cambria Math"/>
        </w:rPr>
        <w:t>∥</w:t>
      </w:r>
      <w:r>
        <w:rPr>
          <w:rFonts w:ascii="Times New Roman" w:hAnsi="Times New Roman" w:eastAsia="宋体" w:cs="Times New Roman"/>
        </w:rPr>
        <w:t>王夫之. 船山全书: 第6册. 长沙: 岳麓书社, 2011:1109.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[2] 程根伟. 1998年长江洪水的成因与减灾对策[M]//许厚泽, 赵其国. 长江流域洪涝灾害与科技对策. 北京: 科学出版社, 1999: 32-36.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[3] 陈晋鏕, 张惠民, 朱士兴, 等. 蓟县震旦亚界研究[M]//中国地质科学院天津地质矿产研究所. 中国震旦亚界. 天津: 天津科学技术出版社, 1980: 56-114.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[4] 马克思. 政治经济学批判[M]//马克思, 恩格斯. 马克思恩格斯全集: 第35卷. 北京: 人民出版社, 2013: 302.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[5] 贾东琴, 柯平. 面向数字素养的高校图书馆数字服务体系研究[C]//中国图书馆学会. 中国图书馆学会年会论文集: 2011卷. 北京: 国家图书馆出版社, 2011: 45-52.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[6] WEINSTEIN L, SWERTZ M N. Pathogenic properties of invading microorganism[M]//SODEMAN W A, Jr, SODEMAN W A. Pathologic physiology: mechanisms of disease. Philadelphia: Saunders, 1074: 745-772.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[7] ROBERSON J A, BURNESON E G. Drinking water standards, regulations and goals[M/OL]//American Water Works Association. Water quality &amp; treatment: a handbook on drinking water, 6th ed. New York: McGraw-Hill, 2011:1.1-1.36[2012-12-10]. http://lib.mylibrary.com/Open.aspx?id=291430.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 期刊、报纸中的析出文献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析出文献主要责任者．析出文献题名[文献类型标识/文献载体标识]．连续出版物题名: 其他题名信息, 年, 卷（期）: 页码[引用日期]. 获取和访问路径. 数字对象唯一标识符. 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示例：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[1] 袁划来, 陈暂, 肖书海, 等. 蓝田生物群: 一个认识多细胞生物起源和早期演化的新窗口[J]. 科学通报, 2012, 55(34): 3219.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[2] 余建斌. 我们的科技一直在追赶: 访中国工程院院长周济[N/OL]. 人民日报, 2013-01-12(2) [2013-03-20].http://paper.people.com.cn/rmrb/html/ 2013-01/12/nw.01l0000rcnmrb_201301l 2_5-02.htm.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[3] 李炳穆．韩国图书馆[J/OL].图书情报工作，2008, 52(6)： 6-12[2013-10- 25].http ://www.docin.com /p-4002 65742.html.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[4]  李幼平, 王莉．循证医学研究方法：附视频[J/OL]. 中华移植杂志(电子版)2010, 4 (3) : 225-228[2014-06-09]. http://www.cqvip.com/ Read/Read.aspx? id= 36658332.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[5] 武丽丽, 华一新, 张亚军, 等．</w:t>
      </w:r>
      <w:r>
        <w:rPr>
          <w:rFonts w:ascii="宋体" w:hAnsi="宋体" w:eastAsia="宋体" w:cs="Times New Roman"/>
        </w:rPr>
        <w:t>“北斗一号”监控管理网设计与实现</w:t>
      </w:r>
      <w:r>
        <w:rPr>
          <w:rFonts w:ascii="Times New Roman" w:hAnsi="Times New Roman" w:eastAsia="宋体" w:cs="Times New Roman"/>
        </w:rPr>
        <w:t>[J/ OL]. 测绘科学, 2008, 33(5):8-9[2009-10-25].http://vip.calis.edu.cn/CSTJ/Sear.dll? OPA_CreateDetail. DOI: 10.3771/j.issn.l 009-2307 .2008.05.002.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[6] KANAMORT H. Shaking without quaking [J]. Science, 1998, 279(5359) : 2063.</w:t>
      </w:r>
    </w:p>
    <w:p>
      <w:pPr>
        <w:tabs>
          <w:tab w:val="left" w:pos="851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[7] CAPLAN P. Cataloging internet resources [J]. The public access computer systems review, 1993, 4(2): 61-66. 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[8] FRESE K S, KATUS H A, MEDER B. Next-generation sequencing: from understanding biology to personalized medicine [J/OL]. Biology, 2013, 2(1): 378-398 [2013-03-19]. http://www.mdpi.com/2079-7737/2/l/378.DOI:10. 3390/biology2010378.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[9] MYBURG A A, GRATTAPAGLIA D, TUSKAN C A, et al. The genome of Eucalyptus grandis[J/OL]. Nature, 2014, 510: 356-362 (2014-06-19)[2014-06-25]. http: //www.nature.com/nature/journal/ v510/n7505/pd£/nature13308.pdf. DOI :10.1038/naturel3308.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专利文献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专利申请者或所有者. 专利题名: 专利号[文献类型标识/文献载体标识]. 公告日期或公开日期[引用日期].获取和访问路径.数字对象唯一标识符.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示例：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[1] 邓一刚. 全智能节电器: 200610171314.3[P]. 2006-12-13.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[2]西安电子科技大学.光折变自适应光外差探测方法： 01128777.2[P/OL].2002-03-06[2002-05-28].http://211.152.9.47/sipoasp/zljs/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OLE_LINK10"/>
      <w:bookmarkStart w:id="1" w:name="OLE_LINK9"/>
      <w:r>
        <w:rPr>
          <w:rFonts w:ascii="Times New Roman" w:hAnsi="Times New Roman" w:cs="Times New Roman"/>
          <w:b/>
          <w:sz w:val="24"/>
          <w:szCs w:val="24"/>
          <w:lang w:val="en-US"/>
        </w:rPr>
        <w:t>5. 电子文献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主要责任者．题名：其他题名信息[文献类型标识/文献载体标识].出版地：出版者, 出版年: 引文页码〈更新或修改日期）引用日期．获取和访问路径．数字对象唯一标识符．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示例：</w:t>
      </w:r>
    </w:p>
    <w:p>
      <w:pPr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[1] 中国互联网络信息中心. 第四次中国互联网络发展现状统计报告[R/OL]. (2012-01-16)[2013-03-26].http://www.cnnic.net.en/hlwfayj/hiwxzbg/201201/P02012070935264469680.pdf.</w:t>
      </w:r>
    </w:p>
    <w:p>
      <w:pPr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[2] 北京市人民政府办公厅. 关于转发北京市企业投资项目核准暂行实施办法的通知: 京政办发[2005]37号[A/OL]. (2005-07-12)(2011-07-12]. http://china.findlaw.cn/fagui/ pl/39934.html.</w:t>
      </w:r>
    </w:p>
    <w:p>
      <w:pPr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[3] BAWDEN D. Origins and concepts of digital literacy[EB/OL]. (2008-05-04)[2013-03-08]. http://www.soi.city.ac.uk／～dbawden/digital% 20literacy%20chapter.pdf.</w:t>
      </w:r>
    </w:p>
    <w:p>
      <w:pPr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[4] Online Computer Library Center, Inc. About OCLC: history of cooperation[EB/OL]. [2012-03-27]. http://www.oclc.org/ about/cooperation. en.html.</w:t>
      </w:r>
    </w:p>
    <w:p>
      <w:pPr>
        <w:spacing w:line="360" w:lineRule="exact"/>
        <w:ind w:left="850" w:hanging="849" w:hangingChars="354"/>
      </w:pPr>
      <w:r>
        <w:rPr>
          <w:rFonts w:ascii="Times New Roman" w:hAnsi="Times New Roman" w:eastAsia="宋体" w:cs="Times New Roman"/>
        </w:rPr>
        <w:t xml:space="preserve">        [5]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HOPKINSON A. UNIMARC and metadata: Dublin core [EB/OL]. (2009-04-22) [2013-03-27]. http: // archive.ifla.org/  IV/ifla64I 138-161e.htm.</w:t>
      </w:r>
      <w:bookmarkEnd w:id="0"/>
      <w:bookmarkEnd w:id="1"/>
    </w:p>
    <w:sectPr>
      <w:footerReference r:id="rId3" w:type="default"/>
      <w:pgSz w:w="12240" w:h="15840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1026" o:spid="_x0000_s1026" o:spt="202" type="#_x0000_t202" style="position:absolute;left:0pt;margin-left:290.7pt;margin-top:725.3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7ii072QAAAA0BAAAPAAAAAAAAAAEAIAAAACIAAABkcnMvZG93bnJldi54bWxQSwEC&#10;FAAUAAAACACHTuJAB9/GdroBAABxAwAADgAAAAAAAAABACAAAAAoAQAAZHJzL2Uyb0RvYy54bWxQ&#10;SwUGAAAAAAYABgBZAQAAVA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docVars>
    <w:docVar w:name="commondata" w:val="eyJoZGlkIjoiYzhlNzAwMDU4NThkMDk1YWEwZTdkNzQ4MjZlMzM3MTgifQ=="/>
  </w:docVars>
  <w:rsids>
    <w:rsidRoot w:val="00B93E4D"/>
    <w:rsid w:val="001E2229"/>
    <w:rsid w:val="001E4D49"/>
    <w:rsid w:val="00226397"/>
    <w:rsid w:val="002F701D"/>
    <w:rsid w:val="00374270"/>
    <w:rsid w:val="00663C92"/>
    <w:rsid w:val="006F148A"/>
    <w:rsid w:val="00802A31"/>
    <w:rsid w:val="00856AEB"/>
    <w:rsid w:val="008C532D"/>
    <w:rsid w:val="00B93E4D"/>
    <w:rsid w:val="00D61576"/>
    <w:rsid w:val="00D85391"/>
    <w:rsid w:val="00D86B55"/>
    <w:rsid w:val="00F1666D"/>
    <w:rsid w:val="00F43BEF"/>
    <w:rsid w:val="4A5C31C2"/>
    <w:rsid w:val="4C455587"/>
    <w:rsid w:val="57C77E54"/>
    <w:rsid w:val="592625A5"/>
    <w:rsid w:val="759222C5"/>
    <w:rsid w:val="7C4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780"/>
      <w:outlineLvl w:val="0"/>
    </w:pPr>
    <w:rPr>
      <w:rFonts w:ascii="华文中宋" w:hAnsi="华文中宋" w:eastAsia="华文中宋" w:cs="华文中宋"/>
      <w:sz w:val="32"/>
      <w:szCs w:val="32"/>
      <w:lang w:bidi="zh-CN"/>
    </w:rPr>
  </w:style>
  <w:style w:type="paragraph" w:styleId="3">
    <w:name w:val="heading 2"/>
    <w:basedOn w:val="1"/>
    <w:next w:val="1"/>
    <w:qFormat/>
    <w:uiPriority w:val="1"/>
    <w:pPr>
      <w:ind w:left="780"/>
      <w:outlineLvl w:val="1"/>
    </w:pPr>
    <w:rPr>
      <w:rFonts w:ascii="宋体" w:hAnsi="宋体" w:eastAsia="宋体" w:cs="宋体"/>
      <w:sz w:val="28"/>
      <w:szCs w:val="28"/>
      <w:lang w:bidi="zh-CN"/>
    </w:rPr>
  </w:style>
  <w:style w:type="paragraph" w:styleId="4">
    <w:name w:val="heading 3"/>
    <w:basedOn w:val="1"/>
    <w:next w:val="1"/>
    <w:qFormat/>
    <w:uiPriority w:val="1"/>
    <w:pPr>
      <w:ind w:left="1198"/>
      <w:outlineLvl w:val="2"/>
    </w:pPr>
    <w:rPr>
      <w:rFonts w:ascii="宋体" w:hAnsi="宋体" w:eastAsia="宋体" w:cs="宋体"/>
      <w:b/>
      <w:bCs/>
      <w:sz w:val="21"/>
      <w:szCs w:val="21"/>
      <w:lang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bidi="zh-CN"/>
    </w:rPr>
  </w:style>
  <w:style w:type="paragraph" w:styleId="6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780" w:hanging="260"/>
    </w:pPr>
    <w:rPr>
      <w:rFonts w:ascii="宋体" w:hAnsi="宋体" w:eastAsia="宋体" w:cs="宋体"/>
      <w:lang w:bidi="zh-CN"/>
    </w:rPr>
  </w:style>
  <w:style w:type="character" w:customStyle="1" w:styleId="11">
    <w:name w:val="页眉 Char"/>
    <w:basedOn w:val="9"/>
    <w:link w:val="7"/>
    <w:semiHidden/>
    <w:uiPriority w:val="99"/>
    <w:rPr>
      <w:sz w:val="18"/>
      <w:szCs w:val="18"/>
      <w:lang w:val="zh-CN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NNU</Company>
  <Pages>5</Pages>
  <Words>1060</Words>
  <Characters>6042</Characters>
  <Lines>50</Lines>
  <Paragraphs>14</Paragraphs>
  <TotalTime>19</TotalTime>
  <ScaleCrop>false</ScaleCrop>
  <LinksUpToDate>false</LinksUpToDate>
  <CharactersWithSpaces>7088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2021-09-15T16:03:00Z</dcterms:created>
  <dc:creator>Chen Xuejun</dc:creator>
  <cp:lastModifiedBy>肖娟宜</cp:lastModifiedBy>
  <dcterms:modified xsi:type="dcterms:W3CDTF">2022-05-06T01:06:21Z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1BB31438721A4B45B6F28A6050F5C465</vt:lpwstr>
  </property>
</Properties>
</file>