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val="0"/>
        <w:spacing w:line="580" w:lineRule="exact"/>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关于举办第二届湖南省研究生金融案例大赛的通知</w:t>
      </w:r>
    </w:p>
    <w:p>
      <w:pPr>
        <w:widowControl w:val="0"/>
        <w:kinsoku/>
        <w:autoSpaceDE/>
        <w:autoSpaceDN/>
        <w:adjustRightInd/>
        <w:snapToGrid w:val="0"/>
        <w:spacing w:line="580" w:lineRule="exact"/>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各学院：</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为深入贯彻落实《教育部 国家发改委 财政部关于加快新时代研究生教育改革发展的意见》精神，主动对接"三高四新"发展战略，创新金融硕士产教融合培养模式，不断提高研究生培养质量，经研究，决定举办第二届湖南省研究生金融案例大赛。现将有关事项通知如下∶</w:t>
      </w:r>
    </w:p>
    <w:p>
      <w:pPr>
        <w:pStyle w:val="4"/>
        <w:widowControl w:val="0"/>
        <w:numPr>
          <w:ilvl w:val="0"/>
          <w:numId w:val="1"/>
        </w:numPr>
        <w:kinsoku/>
        <w:autoSpaceDE/>
        <w:autoSpaceDN/>
        <w:adjustRightInd/>
        <w:snapToGrid w:val="0"/>
        <w:spacing w:line="580" w:lineRule="exact"/>
        <w:ind w:firstLineChars="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参赛对象及要求：</w:t>
      </w:r>
    </w:p>
    <w:p>
      <w:pPr>
        <w:pStyle w:val="4"/>
        <w:widowControl w:val="0"/>
        <w:numPr>
          <w:ilvl w:val="0"/>
          <w:numId w:val="2"/>
        </w:numPr>
        <w:kinsoku/>
        <w:autoSpaceDE/>
        <w:autoSpaceDN/>
        <w:adjustRightInd/>
        <w:snapToGrid w:val="0"/>
        <w:spacing w:line="580" w:lineRule="exact"/>
        <w:ind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每支参赛队伍由3-5名在校研究生(含全日制或非全日制)组成，每人限参加一支队伍，每个参赛队伍限报一篇案例。参赛选手所在培养单位负责审核报名参赛资格。参赛队伍可申报指导教师，每支队伍指导教师不超过2名，鼓励行业导师参与指导。</w:t>
      </w:r>
    </w:p>
    <w:p>
      <w:pPr>
        <w:pStyle w:val="4"/>
        <w:widowControl w:val="0"/>
        <w:numPr>
          <w:ilvl w:val="0"/>
          <w:numId w:val="2"/>
        </w:numPr>
        <w:kinsoku/>
        <w:autoSpaceDE/>
        <w:autoSpaceDN/>
        <w:adjustRightInd/>
        <w:snapToGrid w:val="0"/>
        <w:spacing w:line="580" w:lineRule="exact"/>
        <w:ind w:firstLine="56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本届大赛采取开放命题，案例主题包括但不限于：“三高四新” 战略与区域金融创新、乡村振兴与普惠金融、数字金融与金融科技、金融市场与金融机构、公司投融资管理、绿色金融与经济转型。</w:t>
      </w:r>
    </w:p>
    <w:p>
      <w:pPr>
        <w:pStyle w:val="4"/>
        <w:widowControl w:val="0"/>
        <w:numPr>
          <w:ilvl w:val="0"/>
          <w:numId w:val="1"/>
        </w:numPr>
        <w:kinsoku/>
        <w:autoSpaceDE/>
        <w:autoSpaceDN/>
        <w:adjustRightInd/>
        <w:snapToGrid w:val="0"/>
        <w:spacing w:line="580" w:lineRule="exact"/>
        <w:ind w:firstLineChars="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赛事安排：</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1.时间安排：报名时间为通知下发之日起至10月28日；11月30日前各参赛高校提交参赛案例；决赛时间为12月10日。</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赛事安排：本次大赛分为初赛和决赛，初赛由我校商学院组织，初赛时间将另行通知。决赛采取“线上”竞赛方式进行，具体安排见第二届湖南省研究生金融案例大赛方案(附件1),线上竞赛平台另行通知。作品提交要求参照第二届湖南省研究生金融案例大赛案例报告撰写要求(附件4）。</w:t>
      </w:r>
    </w:p>
    <w:p>
      <w:pPr>
        <w:pStyle w:val="4"/>
        <w:widowControl w:val="0"/>
        <w:numPr>
          <w:ilvl w:val="0"/>
          <w:numId w:val="1"/>
        </w:numPr>
        <w:kinsoku/>
        <w:autoSpaceDE/>
        <w:autoSpaceDN/>
        <w:adjustRightInd/>
        <w:snapToGrid w:val="0"/>
        <w:spacing w:line="580" w:lineRule="exact"/>
        <w:ind w:firstLineChars="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报名事项</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1.报名组织：每队负责人填好竞赛报名表（附件3），于2022年10月28日前将报名表发送至sxyyjsoffice@163.com。</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2.赛事联系：为方便赛事联系和各事宜发布，组委会开通了第二届湖南省研究生金融案例大赛</w:t>
      </w:r>
      <w:r>
        <w:rPr>
          <w:rFonts w:hint="default" w:ascii="宋体" w:hAnsi="宋体" w:eastAsia="宋体" w:cs="宋体"/>
          <w:kern w:val="2"/>
          <w:sz w:val="28"/>
          <w:szCs w:val="28"/>
          <w:lang w:val="en-US" w:eastAsia="zh-CN" w:bidi="ar-SA"/>
        </w:rPr>
        <w:t>qq</w:t>
      </w:r>
      <w:r>
        <w:rPr>
          <w:rFonts w:hint="eastAsia" w:ascii="宋体" w:hAnsi="宋体" w:eastAsia="宋体" w:cs="宋体"/>
          <w:kern w:val="2"/>
          <w:sz w:val="28"/>
          <w:szCs w:val="28"/>
          <w:lang w:val="en-US" w:eastAsia="zh-CN" w:bidi="ar-SA"/>
        </w:rPr>
        <w:t>群，群号为：676210158。联系人：刘莉君老师，18670961427。</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kern w:val="2"/>
          <w:sz w:val="28"/>
          <w:szCs w:val="28"/>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jc w:val="both"/>
        <w:textAlignment w:val="auto"/>
        <w:rPr>
          <w:rFonts w:hint="eastAsia" w:ascii="宋体" w:hAnsi="宋体" w:eastAsia="宋体" w:cs="宋体"/>
          <w:kern w:val="2"/>
          <w:sz w:val="28"/>
          <w:szCs w:val="28"/>
          <w:lang w:val="en-US" w:eastAsia="zh-CN" w:bidi="ar-SA"/>
        </w:rPr>
      </w:pPr>
    </w:p>
    <w:p>
      <w:pPr>
        <w:pStyle w:val="4"/>
        <w:widowControl w:val="0"/>
        <w:kinsoku/>
        <w:autoSpaceDE/>
        <w:autoSpaceDN/>
        <w:adjustRightInd/>
        <w:snapToGrid w:val="0"/>
        <w:spacing w:line="580" w:lineRule="exact"/>
        <w:ind w:left="0" w:leftChars="0" w:firstLine="0" w:firstLineChars="0"/>
        <w:jc w:val="right"/>
        <w:textAlignment w:val="auto"/>
        <w:rPr>
          <w:rFonts w:hint="eastAsia" w:ascii="宋体" w:hAnsi="宋体" w:eastAsia="宋体" w:cs="宋体"/>
          <w:kern w:val="2"/>
          <w:sz w:val="28"/>
          <w:szCs w:val="28"/>
          <w:lang w:val="en-US" w:eastAsia="zh-CN" w:bidi="ar-SA"/>
        </w:rPr>
      </w:pPr>
    </w:p>
    <w:p>
      <w:pPr>
        <w:pStyle w:val="4"/>
        <w:widowControl w:val="0"/>
        <w:kinsoku/>
        <w:autoSpaceDE/>
        <w:autoSpaceDN/>
        <w:adjustRightInd/>
        <w:snapToGrid w:val="0"/>
        <w:spacing w:line="580" w:lineRule="exact"/>
        <w:ind w:left="0" w:leftChars="0" w:firstLine="0" w:firstLineChars="0"/>
        <w:jc w:val="righ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湖南科技大学</w:t>
      </w:r>
      <w:bookmarkStart w:id="0" w:name="_GoBack"/>
      <w:bookmarkEnd w:id="0"/>
      <w:r>
        <w:rPr>
          <w:rFonts w:hint="eastAsia" w:ascii="宋体" w:hAnsi="宋体" w:eastAsia="宋体" w:cs="宋体"/>
          <w:kern w:val="2"/>
          <w:sz w:val="28"/>
          <w:szCs w:val="28"/>
          <w:lang w:val="en-US" w:eastAsia="zh-CN" w:bidi="ar-SA"/>
        </w:rPr>
        <w:t>商学院</w:t>
      </w:r>
    </w:p>
    <w:p>
      <w:pPr>
        <w:pStyle w:val="4"/>
        <w:widowControl w:val="0"/>
        <w:kinsoku/>
        <w:autoSpaceDE/>
        <w:autoSpaceDN/>
        <w:adjustRightInd/>
        <w:snapToGrid w:val="0"/>
        <w:spacing w:line="580" w:lineRule="exact"/>
        <w:ind w:left="420" w:firstLine="0" w:firstLineChars="0"/>
        <w:jc w:val="righ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2022年10月24日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1DEBCC"/>
    <w:multiLevelType w:val="singleLevel"/>
    <w:tmpl w:val="E31DEBCC"/>
    <w:lvl w:ilvl="0" w:tentative="0">
      <w:start w:val="1"/>
      <w:numFmt w:val="chineseCounting"/>
      <w:suff w:val="nothing"/>
      <w:lvlText w:val="%1、"/>
      <w:lvlJc w:val="left"/>
      <w:pPr>
        <w:ind w:left="-420" w:firstLine="420"/>
      </w:pPr>
      <w:rPr>
        <w:rFonts w:hint="eastAsia"/>
      </w:rPr>
    </w:lvl>
  </w:abstractNum>
  <w:abstractNum w:abstractNumId="1">
    <w:nsid w:val="6447E53C"/>
    <w:multiLevelType w:val="singleLevel"/>
    <w:tmpl w:val="6447E53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650</Words>
  <Characters>712</Characters>
  <Lines>0</Lines>
  <Paragraphs>0</Paragraphs>
  <TotalTime>0</TotalTime>
  <ScaleCrop>false</ScaleCrop>
  <LinksUpToDate>false</LinksUpToDate>
  <CharactersWithSpaces>859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2022-10-25T22:04:00Z</dcterms:created>
  <dc:creator>夏知晓的 iPad</dc:creator>
  <cp:lastModifiedBy>🍰</cp:lastModifiedBy>
  <dcterms:modified xsi:type="dcterms:W3CDTF">2022-10-24T17:56:44Z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2052-11.29.0</vt:lpwstr>
  </property>
  <property fmtid="{D5CDD505-2E9C-101B-9397-08002B2CF9AE}" pid="3" name="ICV">
    <vt:lpwstr>89FC3B58CDDD361FD72A56632BB9C1D8</vt:lpwstr>
  </property>
</Properties>
</file>