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B078D">
      <w:pPr>
        <w:bidi w:val="0"/>
        <w:ind w:left="0" w:leftChars="0" w:firstLine="0" w:firstLineChars="0"/>
        <w:rPr>
          <w:rFonts w:hint="eastAsia" w:eastAsia="仿宋_GB2312"/>
          <w:lang w:eastAsia="zh-CN"/>
        </w:rPr>
      </w:pPr>
      <w:bookmarkStart w:id="0" w:name="_GoBack"/>
      <w:bookmarkEnd w:id="0"/>
      <w:r>
        <w:t>附件</w:t>
      </w:r>
      <w:r>
        <w:rPr>
          <w:rFonts w:hint="eastAsia"/>
          <w:lang w:val="en-US" w:eastAsia="zh-CN"/>
        </w:rPr>
        <w:t>3</w:t>
      </w:r>
      <w:r>
        <w:rPr>
          <w:rFonts w:hint="eastAsia"/>
          <w:lang w:eastAsia="zh-CN"/>
        </w:rPr>
        <w:t>：</w:t>
      </w:r>
    </w:p>
    <w:p w14:paraId="39711C97">
      <w:pPr>
        <w:pStyle w:val="10"/>
        <w:keepNext w:val="0"/>
        <w:keepLines w:val="0"/>
        <w:pageBreakBefore w:val="0"/>
        <w:widowControl/>
        <w:kinsoku w:val="0"/>
        <w:wordWrap/>
        <w:overflowPunct/>
        <w:topLinePunct w:val="0"/>
        <w:autoSpaceDE w:val="0"/>
        <w:autoSpaceDN w:val="0"/>
        <w:bidi w:val="0"/>
        <w:adjustRightInd w:val="0"/>
        <w:snapToGrid w:val="0"/>
        <w:ind w:left="11" w:firstLine="0" w:firstLineChars="0"/>
        <w:jc w:val="center"/>
        <w:textAlignment w:val="baseline"/>
        <w:rPr>
          <w:szCs w:val="40"/>
          <w:highlight w:val="none"/>
        </w:rPr>
      </w:pPr>
      <w:r>
        <w:t>湖南省第</w:t>
      </w:r>
      <w:r>
        <w:rPr>
          <w:rFonts w:hint="eastAsia"/>
          <w:lang w:val="en-US" w:eastAsia="zh-CN"/>
        </w:rPr>
        <w:t>八</w:t>
      </w:r>
      <w:r>
        <w:t>届高校公共管理案例大赛方案</w:t>
      </w:r>
    </w:p>
    <w:p w14:paraId="43569838">
      <w:pPr>
        <w:pStyle w:val="2"/>
        <w:bidi w:val="0"/>
      </w:pPr>
      <w:r>
        <w:t>一、组织单位</w:t>
      </w:r>
    </w:p>
    <w:p w14:paraId="13FC37DD">
      <w:pPr>
        <w:bidi w:val="0"/>
        <w:rPr>
          <w:highlight w:val="none"/>
        </w:rPr>
      </w:pPr>
      <w:r>
        <w:t>本届高校公共管理案例大赛由湖南省教育厅主办，湖南</w:t>
      </w:r>
      <w:r>
        <w:rPr>
          <w:rFonts w:hint="eastAsia"/>
          <w:lang w:val="en-US" w:eastAsia="zh-CN"/>
        </w:rPr>
        <w:t>农业</w:t>
      </w:r>
      <w:r>
        <w:t>大学承办。大赛组委会办公室设在湖南</w:t>
      </w:r>
      <w:r>
        <w:rPr>
          <w:rFonts w:hint="eastAsia"/>
          <w:lang w:val="en-US" w:eastAsia="zh-CN"/>
        </w:rPr>
        <w:t>农业</w:t>
      </w:r>
      <w:r>
        <w:t>大学公共管理</w:t>
      </w:r>
      <w:r>
        <w:rPr>
          <w:rFonts w:hint="eastAsia"/>
          <w:lang w:val="en-US" w:eastAsia="zh-CN"/>
        </w:rPr>
        <w:t>与法学</w:t>
      </w:r>
      <w:r>
        <w:t>学院。</w:t>
      </w:r>
    </w:p>
    <w:p w14:paraId="0AE145EB">
      <w:pPr>
        <w:pStyle w:val="2"/>
        <w:bidi w:val="0"/>
        <w:rPr>
          <w:rFonts w:ascii="黑体" w:hAnsi="黑体" w:eastAsia="黑体" w:cs="黑体"/>
          <w:szCs w:val="28"/>
          <w:highlight w:val="none"/>
        </w:rPr>
      </w:pPr>
      <w:r>
        <w:t>二、参赛对象及名额</w:t>
      </w:r>
    </w:p>
    <w:p w14:paraId="4431E044">
      <w:pPr>
        <w:bidi w:val="0"/>
      </w:pPr>
      <w:r>
        <w:t>全省设有公</w:t>
      </w:r>
      <w:r>
        <w:rPr>
          <w:rFonts w:hint="default"/>
        </w:rPr>
        <w:t>共管理学科专业的研究生培养高校均可自由组队参赛，每所院校原则上至少选派2支研究生代表队，</w:t>
      </w:r>
      <w:r>
        <w:rPr>
          <w:rFonts w:hint="eastAsia"/>
        </w:rPr>
        <w:t>每队</w:t>
      </w:r>
      <w:r>
        <w:rPr>
          <w:rFonts w:hint="eastAsia"/>
          <w:lang w:val="en-US" w:eastAsia="zh-CN"/>
        </w:rPr>
        <w:t>主要</w:t>
      </w:r>
      <w:r>
        <w:rPr>
          <w:rFonts w:hint="eastAsia"/>
        </w:rPr>
        <w:t>由</w:t>
      </w:r>
      <w:r>
        <w:rPr>
          <w:rFonts w:hint="eastAsia"/>
          <w:lang w:val="en-US" w:eastAsia="zh-CN"/>
        </w:rPr>
        <w:t>3-5</w:t>
      </w:r>
      <w:r>
        <w:rPr>
          <w:rFonts w:hint="eastAsia"/>
        </w:rPr>
        <w:t>名相关专业的在校专业学位研究生或学术学位研究生组成，</w:t>
      </w:r>
      <w:r>
        <w:rPr>
          <w:rFonts w:hint="eastAsia"/>
          <w:lang w:val="en-US" w:eastAsia="zh-CN"/>
        </w:rPr>
        <w:t>其中1名可以为本科生。</w:t>
      </w:r>
      <w:r>
        <w:rPr>
          <w:rFonts w:hint="default"/>
        </w:rPr>
        <w:t>每支队伍的指导教师不超过2人（含实务界人</w:t>
      </w:r>
      <w:r>
        <w:t>士）。</w:t>
      </w:r>
    </w:p>
    <w:p w14:paraId="77F42BF6">
      <w:pPr>
        <w:pStyle w:val="2"/>
        <w:bidi w:val="0"/>
      </w:pPr>
      <w:r>
        <w:t>三、赛程赛制</w:t>
      </w:r>
    </w:p>
    <w:p w14:paraId="7241DE40">
      <w:pPr>
        <w:bidi w:val="0"/>
      </w:pPr>
      <w:r>
        <w:t>大赛分为初赛、复赛和决赛三个阶段。</w:t>
      </w:r>
    </w:p>
    <w:p w14:paraId="0FA64625">
      <w:pPr>
        <w:pStyle w:val="3"/>
        <w:bidi w:val="0"/>
      </w:pPr>
      <w:r>
        <w:t>（一）初赛阶段</w:t>
      </w:r>
    </w:p>
    <w:p w14:paraId="5BA09AB6">
      <w:pPr>
        <w:bidi w:val="0"/>
      </w:pPr>
      <w:r>
        <w:t>参赛队伍在选题范围内自主确定案例，通过实地调研等方式收集第一手资料，进行案例撰写和分析，形成完整的案例正文和分析报告。参赛队伍须针对案例情境，结合公 共管理相关理论，提出具有可行性和创新性的政策建议或解决方案。</w:t>
      </w:r>
    </w:p>
    <w:p w14:paraId="1CCF67F8">
      <w:pPr>
        <w:bidi w:val="0"/>
      </w:pPr>
      <w:r>
        <w:t>初赛采取匿名评选的形式。评委将根据参赛队伍提交的案例正文及分析报告进行匿名评分，</w:t>
      </w:r>
      <w:r>
        <w:rPr>
          <w:rFonts w:hint="eastAsia"/>
        </w:rPr>
        <w:t>评选出</w:t>
      </w:r>
      <w:r>
        <w:rPr>
          <w:rFonts w:hint="eastAsia"/>
          <w:lang w:val="en-US" w:eastAsia="zh-CN"/>
        </w:rPr>
        <w:t>参评案例的</w:t>
      </w:r>
      <w:r>
        <w:rPr>
          <w:rFonts w:hint="eastAsia"/>
        </w:rPr>
        <w:t>前十</w:t>
      </w:r>
      <w:r>
        <w:rPr>
          <w:rFonts w:hint="eastAsia"/>
          <w:lang w:val="en-US" w:eastAsia="zh-CN"/>
        </w:rPr>
        <w:t>八</w:t>
      </w:r>
      <w:r>
        <w:rPr>
          <w:rFonts w:hint="eastAsia"/>
        </w:rPr>
        <w:t>强和前</w:t>
      </w:r>
      <w:r>
        <w:rPr>
          <w:rFonts w:hint="eastAsia"/>
          <w:lang w:val="en-US" w:eastAsia="zh-CN"/>
        </w:rPr>
        <w:t>30</w:t>
      </w:r>
      <w:r>
        <w:rPr>
          <w:rFonts w:hint="default"/>
        </w:rPr>
        <w:t>%</w:t>
      </w:r>
      <w:r>
        <w:rPr>
          <w:rFonts w:hint="eastAsia"/>
          <w:lang w:eastAsia="zh-CN"/>
        </w:rPr>
        <w:t>，</w:t>
      </w:r>
      <w:r>
        <w:rPr>
          <w:rFonts w:hint="eastAsia"/>
          <w:lang w:val="en-US" w:eastAsia="zh-CN"/>
        </w:rPr>
        <w:t>前十八强晋级复赛</w:t>
      </w:r>
      <w:r>
        <w:t>。</w:t>
      </w:r>
    </w:p>
    <w:p w14:paraId="380DEE68">
      <w:pPr>
        <w:pStyle w:val="3"/>
        <w:bidi w:val="0"/>
      </w:pPr>
      <w:r>
        <w:t>（二）复赛阶段</w:t>
      </w:r>
    </w:p>
    <w:p w14:paraId="141E093A">
      <w:pPr>
        <w:bidi w:val="0"/>
      </w:pPr>
      <w:r>
        <w:rPr>
          <w:rFonts w:hint="eastAsia"/>
        </w:rPr>
        <w:t>复赛为</w:t>
      </w:r>
      <w:r>
        <w:rPr>
          <w:rFonts w:hint="eastAsia"/>
          <w:lang w:val="en-US" w:eastAsia="zh-CN"/>
        </w:rPr>
        <w:t>18</w:t>
      </w:r>
      <w:r>
        <w:rPr>
          <w:rFonts w:hint="default"/>
        </w:rPr>
        <w:t>进6的比赛。</w:t>
      </w:r>
      <w:r>
        <w:rPr>
          <w:rFonts w:hint="eastAsia"/>
          <w:lang w:val="en-US" w:eastAsia="zh-CN"/>
        </w:rPr>
        <w:t>18</w:t>
      </w:r>
      <w:r>
        <w:rPr>
          <w:rFonts w:hint="default"/>
        </w:rPr>
        <w:t>支队伍随机分为</w:t>
      </w:r>
      <w:r>
        <w:rPr>
          <w:rFonts w:hint="eastAsia"/>
          <w:lang w:val="en-US" w:eastAsia="zh-CN"/>
        </w:rPr>
        <w:t>3</w:t>
      </w:r>
      <w:r>
        <w:rPr>
          <w:rFonts w:hint="default"/>
        </w:rPr>
        <w:t>组</w:t>
      </w:r>
      <w:r>
        <w:rPr>
          <w:rFonts w:hint="eastAsia"/>
          <w:lang w:val="en-US" w:eastAsia="zh-CN"/>
        </w:rPr>
        <w:t>9对</w:t>
      </w:r>
      <w:r>
        <w:rPr>
          <w:rFonts w:hint="default"/>
        </w:rPr>
        <w:t>，</w:t>
      </w:r>
      <w:r>
        <w:rPr>
          <w:rFonts w:hint="eastAsia"/>
        </w:rPr>
        <w:t>进行一对一的现场对决。对决形式为两支队伍现场陈述各自在初赛提交的案例正文和分析报告，并进行现场问辩。评委对每支队伍的案例分析水平和现场问辩表现进行打分，每组</w:t>
      </w:r>
      <w:r>
        <w:rPr>
          <w:rFonts w:hint="eastAsia"/>
          <w:lang w:val="en-US" w:eastAsia="zh-CN"/>
        </w:rPr>
        <w:t>前两名</w:t>
      </w:r>
      <w:r>
        <w:rPr>
          <w:rFonts w:hint="eastAsia"/>
        </w:rPr>
        <w:t>队伍晋级决赛。</w:t>
      </w:r>
    </w:p>
    <w:p w14:paraId="4C6BB574">
      <w:pPr>
        <w:pStyle w:val="3"/>
        <w:bidi w:val="0"/>
      </w:pPr>
      <w:r>
        <w:t>（三）决赛阶段</w:t>
      </w:r>
    </w:p>
    <w:p w14:paraId="26120A7B">
      <w:pPr>
        <w:bidi w:val="0"/>
      </w:pPr>
      <w:r>
        <w:rPr>
          <w:rFonts w:hint="eastAsia"/>
          <w:lang w:val="en-US" w:eastAsia="zh-CN"/>
        </w:rPr>
        <w:t>决赛</w:t>
      </w:r>
      <w:r>
        <w:rPr>
          <w:rFonts w:hint="default"/>
          <w:lang w:val="en-US" w:eastAsia="zh-CN"/>
        </w:rPr>
        <w:t>为</w:t>
      </w:r>
      <w:r>
        <w:rPr>
          <w:rFonts w:hint="eastAsia"/>
          <w:lang w:val="en-US" w:eastAsia="zh-CN"/>
        </w:rPr>
        <w:t>六</w:t>
      </w:r>
      <w:r>
        <w:rPr>
          <w:rFonts w:hint="default"/>
          <w:lang w:val="en-US" w:eastAsia="zh-CN"/>
        </w:rPr>
        <w:t>强赛。</w:t>
      </w:r>
      <w:r>
        <w:rPr>
          <w:rFonts w:hint="eastAsia"/>
          <w:lang w:val="en-US" w:eastAsia="zh-CN"/>
        </w:rPr>
        <w:t>6</w:t>
      </w:r>
      <w:r>
        <w:rPr>
          <w:rFonts w:hint="default"/>
          <w:lang w:val="en-US" w:eastAsia="zh-CN"/>
        </w:rPr>
        <w:t>支参赛队伍</w:t>
      </w:r>
      <w:r>
        <w:rPr>
          <w:rFonts w:hint="eastAsia"/>
          <w:lang w:val="en-US" w:eastAsia="zh-CN"/>
        </w:rPr>
        <w:t>随机</w:t>
      </w:r>
      <w:r>
        <w:rPr>
          <w:rFonts w:hint="default"/>
          <w:lang w:val="en-US" w:eastAsia="zh-CN"/>
        </w:rPr>
        <w:t>分成</w:t>
      </w:r>
      <w:r>
        <w:rPr>
          <w:rFonts w:hint="eastAsia"/>
          <w:lang w:val="en-US" w:eastAsia="zh-CN"/>
        </w:rPr>
        <w:t>3组</w:t>
      </w:r>
      <w:r>
        <w:rPr>
          <w:rFonts w:hint="default"/>
          <w:lang w:val="en-US" w:eastAsia="zh-CN"/>
        </w:rPr>
        <w:t>，依次进行一对一的现场对决。对决形式为两支队伍根据组委会提供的同一案例，在规定时间内完成案例分析，并进行现场展示和问辩。评委对每支队伍的案例分析水平和现场问辩表现分别进行打分，两者加权加总后确定最终名次及奖项归属。</w:t>
      </w:r>
    </w:p>
    <w:p w14:paraId="52908355">
      <w:pPr>
        <w:pStyle w:val="2"/>
        <w:bidi w:val="0"/>
      </w:pPr>
      <w:r>
        <w:t>四、评委遴选规则</w:t>
      </w:r>
    </w:p>
    <w:p w14:paraId="5C71A005">
      <w:pPr>
        <w:bidi w:val="0"/>
      </w:pPr>
      <w:r>
        <w:t>比赛评委由大赛组委会统一从全国公共管理教指委专家库和省内相关实务部门中遴选确定，并在比赛正式开始前对评委进行比赛规则培训。</w:t>
      </w:r>
    </w:p>
    <w:p w14:paraId="0ABACDED">
      <w:pPr>
        <w:pStyle w:val="2"/>
        <w:bidi w:val="0"/>
      </w:pPr>
      <w:r>
        <w:t>五、选题范围</w:t>
      </w:r>
    </w:p>
    <w:p w14:paraId="0B461DB0">
      <w:pPr>
        <w:bidi w:val="0"/>
      </w:pPr>
      <w:r>
        <w:t>参赛队伍应紧密围绕我国公共管理实际工作中面临的重大或热点问题。选题范围包括但不限于：</w:t>
      </w:r>
      <w:r>
        <w:rPr>
          <w:rFonts w:hint="eastAsia"/>
        </w:rPr>
        <w:t>政府管理创新；地方治理创新；应急管理；城乡公共治理；政治、经济、社会、文化、生态等领域的政策议题；运用现代技术手段和方法改进公共治理等。</w:t>
      </w:r>
    </w:p>
    <w:p w14:paraId="4E4E6623">
      <w:pPr>
        <w:pStyle w:val="2"/>
        <w:bidi w:val="0"/>
      </w:pPr>
      <w:r>
        <w:t>六、大赛流程</w:t>
      </w:r>
    </w:p>
    <w:p w14:paraId="26E8192F">
      <w:pPr>
        <w:pStyle w:val="3"/>
        <w:bidi w:val="0"/>
      </w:pPr>
      <w:r>
        <w:t>（一）报名事项</w:t>
      </w:r>
    </w:p>
    <w:p w14:paraId="5FDA7376">
      <w:pPr>
        <w:bidi w:val="0"/>
        <w:rPr>
          <w:highlight w:val="none"/>
        </w:rPr>
      </w:pPr>
      <w:r>
        <w:t>各单位请</w:t>
      </w:r>
      <w:r>
        <w:rPr>
          <w:rFonts w:hint="default"/>
        </w:rPr>
        <w:t>于10月1</w:t>
      </w:r>
      <w:r>
        <w:rPr>
          <w:rFonts w:hint="default"/>
          <w:lang w:val="en-US" w:eastAsia="zh-CN"/>
        </w:rPr>
        <w:t>0</w:t>
      </w:r>
      <w:r>
        <w:rPr>
          <w:rFonts w:hint="default"/>
        </w:rPr>
        <w:t>日</w:t>
      </w:r>
      <w:r>
        <w:t>前将参赛人员名单（盖公章）报送组委会办公室，同时报送电子版</w:t>
      </w:r>
      <w:r>
        <w:rPr>
          <w:rFonts w:hint="eastAsia"/>
          <w:lang w:val="en-US" w:eastAsia="zh-CN"/>
        </w:rPr>
        <w:t>至</w:t>
      </w:r>
      <w:r>
        <w:rPr>
          <w:rFonts w:hint="default"/>
          <w:lang w:val="en-US" w:eastAsia="zh-CN"/>
        </w:rPr>
        <w:t>gfy@hunau.edu.cn</w:t>
      </w:r>
      <w:r>
        <w:rPr>
          <w:rFonts w:hint="eastAsia"/>
          <w:lang w:val="en-US" w:eastAsia="zh-CN"/>
        </w:rPr>
        <w:t>邮箱</w:t>
      </w:r>
      <w:r>
        <w:t>。</w:t>
      </w:r>
    </w:p>
    <w:p w14:paraId="1A5AE25F">
      <w:pPr>
        <w:pStyle w:val="3"/>
        <w:bidi w:val="0"/>
      </w:pPr>
      <w:r>
        <w:t>（二）比赛流程</w:t>
      </w:r>
    </w:p>
    <w:p w14:paraId="11BE140F">
      <w:pPr>
        <w:spacing w:line="30" w:lineRule="auto"/>
        <w:rPr>
          <w:rFonts w:ascii="Arial"/>
          <w:sz w:val="2"/>
          <w:highlight w:val="none"/>
        </w:rPr>
      </w:pPr>
    </w:p>
    <w:tbl>
      <w:tblPr>
        <w:tblStyle w:val="8"/>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32"/>
        <w:gridCol w:w="4532"/>
      </w:tblGrid>
      <w:tr w14:paraId="07B13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4532" w:type="dxa"/>
            <w:vAlign w:val="center"/>
          </w:tcPr>
          <w:p w14:paraId="0F0D749D">
            <w:pPr>
              <w:pStyle w:val="9"/>
              <w:spacing w:before="151" w:line="221" w:lineRule="auto"/>
              <w:ind w:left="119"/>
              <w:jc w:val="center"/>
              <w:rPr>
                <w:rFonts w:hint="default" w:ascii="Times New Roman" w:hAnsi="Times New Roman" w:eastAsia="仿宋_GB2312"/>
                <w:b/>
                <w:bCs/>
                <w:spacing w:val="-14"/>
                <w:highlight w:val="none"/>
                <w:lang w:val="en-US" w:eastAsia="zh-CN"/>
              </w:rPr>
            </w:pPr>
            <w:r>
              <w:rPr>
                <w:rFonts w:hint="eastAsia" w:ascii="Times New Roman" w:hAnsi="Times New Roman" w:eastAsia="仿宋_GB2312"/>
                <w:b/>
                <w:bCs/>
                <w:spacing w:val="-14"/>
                <w:highlight w:val="none"/>
                <w:lang w:val="en-US" w:eastAsia="zh-CN"/>
              </w:rPr>
              <w:t>时间节点</w:t>
            </w:r>
          </w:p>
        </w:tc>
        <w:tc>
          <w:tcPr>
            <w:tcW w:w="4532" w:type="dxa"/>
            <w:vAlign w:val="center"/>
          </w:tcPr>
          <w:p w14:paraId="02A5D936">
            <w:pPr>
              <w:pStyle w:val="9"/>
              <w:spacing w:before="151" w:line="221" w:lineRule="auto"/>
              <w:ind w:left="121"/>
              <w:jc w:val="center"/>
              <w:rPr>
                <w:rFonts w:hint="eastAsia" w:ascii="Times New Roman" w:hAnsi="Times New Roman" w:eastAsia="仿宋_GB2312"/>
                <w:b/>
                <w:bCs/>
                <w:spacing w:val="-2"/>
                <w:highlight w:val="none"/>
                <w:lang w:val="en-US" w:eastAsia="zh-CN"/>
              </w:rPr>
            </w:pPr>
            <w:r>
              <w:rPr>
                <w:rFonts w:hint="eastAsia" w:ascii="Times New Roman" w:hAnsi="Times New Roman" w:eastAsia="仿宋_GB2312"/>
                <w:b/>
                <w:bCs/>
                <w:spacing w:val="-2"/>
                <w:highlight w:val="none"/>
                <w:lang w:val="en-US" w:eastAsia="zh-CN"/>
              </w:rPr>
              <w:t>流程</w:t>
            </w:r>
          </w:p>
        </w:tc>
      </w:tr>
      <w:tr w14:paraId="7DE70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4532" w:type="dxa"/>
            <w:vAlign w:val="center"/>
          </w:tcPr>
          <w:p w14:paraId="35A2A305">
            <w:pPr>
              <w:pStyle w:val="9"/>
              <w:spacing w:before="151" w:line="221" w:lineRule="auto"/>
              <w:ind w:left="119"/>
              <w:jc w:val="center"/>
              <w:rPr>
                <w:rFonts w:hint="default" w:ascii="Times New Roman" w:hAnsi="Times New Roman" w:eastAsia="仿宋_GB2312" w:cs="Times New Roman"/>
                <w:highlight w:val="none"/>
              </w:rPr>
            </w:pPr>
            <w:r>
              <w:rPr>
                <w:rFonts w:hint="default" w:ascii="Times New Roman" w:hAnsi="Times New Roman" w:eastAsia="仿宋_GB2312" w:cs="Times New Roman"/>
                <w:spacing w:val="-14"/>
                <w:highlight w:val="none"/>
              </w:rPr>
              <w:t>202</w:t>
            </w:r>
            <w:r>
              <w:rPr>
                <w:rFonts w:hint="default" w:ascii="Times New Roman" w:hAnsi="Times New Roman" w:eastAsia="仿宋_GB2312" w:cs="Times New Roman"/>
                <w:spacing w:val="-14"/>
                <w:highlight w:val="none"/>
                <w:lang w:val="en-US" w:eastAsia="zh-CN"/>
              </w:rPr>
              <w:t>5</w:t>
            </w:r>
            <w:r>
              <w:rPr>
                <w:rFonts w:hint="default" w:ascii="Times New Roman" w:hAnsi="Times New Roman" w:eastAsia="仿宋_GB2312" w:cs="Times New Roman"/>
                <w:spacing w:val="-30"/>
                <w:highlight w:val="none"/>
              </w:rPr>
              <w:t xml:space="preserve"> </w:t>
            </w:r>
            <w:r>
              <w:rPr>
                <w:rFonts w:hint="default" w:ascii="Times New Roman" w:hAnsi="Times New Roman" w:eastAsia="仿宋_GB2312" w:cs="Times New Roman"/>
                <w:spacing w:val="-14"/>
                <w:highlight w:val="none"/>
              </w:rPr>
              <w:t>年</w:t>
            </w:r>
            <w:r>
              <w:rPr>
                <w:rFonts w:hint="default" w:ascii="Times New Roman" w:hAnsi="Times New Roman" w:eastAsia="仿宋_GB2312" w:cs="Times New Roman"/>
                <w:spacing w:val="-34"/>
                <w:highlight w:val="none"/>
              </w:rPr>
              <w:t xml:space="preserve"> </w:t>
            </w:r>
            <w:r>
              <w:rPr>
                <w:rFonts w:hint="default" w:ascii="Times New Roman" w:hAnsi="Times New Roman" w:eastAsia="仿宋_GB2312" w:cs="Times New Roman"/>
                <w:spacing w:val="-14"/>
                <w:highlight w:val="none"/>
              </w:rPr>
              <w:t>10</w:t>
            </w:r>
            <w:r>
              <w:rPr>
                <w:rFonts w:hint="default" w:ascii="Times New Roman" w:hAnsi="Times New Roman" w:eastAsia="仿宋_GB2312" w:cs="Times New Roman"/>
                <w:spacing w:val="-33"/>
                <w:highlight w:val="none"/>
              </w:rPr>
              <w:t xml:space="preserve"> </w:t>
            </w:r>
            <w:r>
              <w:rPr>
                <w:rFonts w:hint="default" w:ascii="Times New Roman" w:hAnsi="Times New Roman" w:eastAsia="仿宋_GB2312" w:cs="Times New Roman"/>
                <w:spacing w:val="-14"/>
                <w:highlight w:val="none"/>
              </w:rPr>
              <w:t>月</w:t>
            </w:r>
            <w:r>
              <w:rPr>
                <w:rFonts w:hint="default" w:ascii="Times New Roman" w:hAnsi="Times New Roman" w:eastAsia="仿宋_GB2312" w:cs="Times New Roman"/>
                <w:spacing w:val="-34"/>
                <w:highlight w:val="none"/>
              </w:rPr>
              <w:t xml:space="preserve"> </w:t>
            </w:r>
            <w:r>
              <w:rPr>
                <w:rFonts w:hint="default" w:ascii="Times New Roman" w:hAnsi="Times New Roman" w:eastAsia="仿宋_GB2312" w:cs="Times New Roman"/>
                <w:spacing w:val="-14"/>
                <w:highlight w:val="none"/>
              </w:rPr>
              <w:t>1</w:t>
            </w:r>
            <w:r>
              <w:rPr>
                <w:rFonts w:hint="default" w:ascii="Times New Roman" w:hAnsi="Times New Roman" w:eastAsia="仿宋_GB2312" w:cs="Times New Roman"/>
                <w:spacing w:val="-14"/>
                <w:highlight w:val="none"/>
                <w:lang w:val="en-US" w:eastAsia="zh-CN"/>
              </w:rPr>
              <w:t xml:space="preserve">0 </w:t>
            </w:r>
            <w:r>
              <w:rPr>
                <w:rFonts w:hint="default" w:ascii="Times New Roman" w:hAnsi="Times New Roman" w:eastAsia="仿宋_GB2312" w:cs="Times New Roman"/>
                <w:spacing w:val="-14"/>
                <w:highlight w:val="none"/>
              </w:rPr>
              <w:t>日前</w:t>
            </w:r>
          </w:p>
        </w:tc>
        <w:tc>
          <w:tcPr>
            <w:tcW w:w="4532" w:type="dxa"/>
            <w:vAlign w:val="center"/>
          </w:tcPr>
          <w:p w14:paraId="054FAA87">
            <w:pPr>
              <w:pStyle w:val="9"/>
              <w:spacing w:before="151" w:line="221" w:lineRule="auto"/>
              <w:ind w:left="121"/>
              <w:jc w:val="center"/>
              <w:rPr>
                <w:rFonts w:ascii="Times New Roman" w:hAnsi="Times New Roman" w:eastAsia="仿宋_GB2312"/>
                <w:highlight w:val="none"/>
              </w:rPr>
            </w:pPr>
            <w:r>
              <w:rPr>
                <w:rFonts w:ascii="Times New Roman" w:hAnsi="Times New Roman" w:eastAsia="仿宋_GB2312"/>
                <w:spacing w:val="-2"/>
                <w:highlight w:val="none"/>
              </w:rPr>
              <w:t>各单位完成校内选拔赛</w:t>
            </w:r>
            <w:r>
              <w:rPr>
                <w:rFonts w:hint="eastAsia" w:ascii="Times New Roman" w:hAnsi="Times New Roman" w:eastAsia="仿宋_GB2312"/>
                <w:spacing w:val="-2"/>
                <w:highlight w:val="none"/>
                <w:lang w:eastAsia="zh-CN"/>
              </w:rPr>
              <w:t>；</w:t>
            </w:r>
            <w:r>
              <w:rPr>
                <w:rFonts w:ascii="Times New Roman" w:hAnsi="Times New Roman" w:eastAsia="仿宋_GB2312"/>
                <w:spacing w:val="-2"/>
                <w:highlight w:val="none"/>
              </w:rPr>
              <w:t>提交</w:t>
            </w:r>
            <w:r>
              <w:rPr>
                <w:rFonts w:hint="eastAsia" w:ascii="Times New Roman" w:hAnsi="Times New Roman" w:eastAsia="仿宋_GB2312"/>
                <w:spacing w:val="-2"/>
                <w:highlight w:val="none"/>
              </w:rPr>
              <w:t>提交初赛结果（公示材料或获奖证书）</w:t>
            </w:r>
            <w:r>
              <w:rPr>
                <w:rFonts w:hint="eastAsia" w:ascii="Times New Roman" w:hAnsi="Times New Roman" w:eastAsia="仿宋_GB2312"/>
                <w:spacing w:val="-2"/>
                <w:highlight w:val="none"/>
                <w:lang w:eastAsia="zh-CN"/>
              </w:rPr>
              <w:t>、</w:t>
            </w:r>
            <w:r>
              <w:rPr>
                <w:rFonts w:hint="eastAsia" w:ascii="Times New Roman" w:hAnsi="Times New Roman" w:eastAsia="仿宋_GB2312"/>
                <w:spacing w:val="-2"/>
                <w:highlight w:val="none"/>
                <w:lang w:val="en-US" w:eastAsia="zh-CN"/>
              </w:rPr>
              <w:t>参赛</w:t>
            </w:r>
            <w:r>
              <w:rPr>
                <w:rFonts w:ascii="Times New Roman" w:hAnsi="Times New Roman" w:eastAsia="仿宋_GB2312"/>
                <w:spacing w:val="-2"/>
                <w:highlight w:val="none"/>
              </w:rPr>
              <w:t>案例正文及分析报告</w:t>
            </w:r>
          </w:p>
        </w:tc>
      </w:tr>
      <w:tr w14:paraId="4B933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4532" w:type="dxa"/>
            <w:vAlign w:val="center"/>
          </w:tcPr>
          <w:p w14:paraId="2D5533AC">
            <w:pPr>
              <w:pStyle w:val="9"/>
              <w:spacing w:before="147" w:line="220" w:lineRule="auto"/>
              <w:ind w:left="119"/>
              <w:jc w:val="center"/>
              <w:rPr>
                <w:rFonts w:hint="default" w:ascii="Times New Roman" w:hAnsi="Times New Roman" w:eastAsia="仿宋_GB2312" w:cs="Times New Roman"/>
                <w:highlight w:val="none"/>
              </w:rPr>
            </w:pPr>
            <w:r>
              <w:rPr>
                <w:rFonts w:hint="default" w:ascii="Times New Roman" w:hAnsi="Times New Roman" w:eastAsia="仿宋_GB2312" w:cs="Times New Roman"/>
                <w:spacing w:val="-12"/>
                <w:highlight w:val="none"/>
              </w:rPr>
              <w:t>202</w:t>
            </w:r>
            <w:r>
              <w:rPr>
                <w:rFonts w:hint="default" w:ascii="Times New Roman" w:hAnsi="Times New Roman" w:eastAsia="仿宋_GB2312" w:cs="Times New Roman"/>
                <w:spacing w:val="-12"/>
                <w:highlight w:val="none"/>
                <w:lang w:val="en-US" w:eastAsia="zh-CN"/>
              </w:rPr>
              <w:t>5</w:t>
            </w:r>
            <w:r>
              <w:rPr>
                <w:rFonts w:hint="default" w:ascii="Times New Roman" w:hAnsi="Times New Roman" w:eastAsia="仿宋_GB2312" w:cs="Times New Roman"/>
                <w:spacing w:val="-38"/>
                <w:highlight w:val="none"/>
              </w:rPr>
              <w:t xml:space="preserve"> </w:t>
            </w:r>
            <w:r>
              <w:rPr>
                <w:rFonts w:hint="default" w:ascii="Times New Roman" w:hAnsi="Times New Roman" w:eastAsia="仿宋_GB2312" w:cs="Times New Roman"/>
                <w:spacing w:val="-12"/>
                <w:highlight w:val="none"/>
              </w:rPr>
              <w:t>年</w:t>
            </w:r>
            <w:r>
              <w:rPr>
                <w:rFonts w:hint="default" w:ascii="Times New Roman" w:hAnsi="Times New Roman" w:eastAsia="仿宋_GB2312" w:cs="Times New Roman"/>
                <w:spacing w:val="-33"/>
                <w:highlight w:val="none"/>
              </w:rPr>
              <w:t xml:space="preserve"> </w:t>
            </w:r>
            <w:r>
              <w:rPr>
                <w:rFonts w:hint="default" w:ascii="Times New Roman" w:hAnsi="Times New Roman" w:eastAsia="仿宋_GB2312" w:cs="Times New Roman"/>
                <w:spacing w:val="-12"/>
                <w:highlight w:val="none"/>
              </w:rPr>
              <w:t>10</w:t>
            </w:r>
            <w:r>
              <w:rPr>
                <w:rFonts w:hint="default" w:ascii="Times New Roman" w:hAnsi="Times New Roman" w:eastAsia="仿宋_GB2312" w:cs="Times New Roman"/>
                <w:spacing w:val="-33"/>
                <w:highlight w:val="none"/>
              </w:rPr>
              <w:t xml:space="preserve"> </w:t>
            </w:r>
            <w:r>
              <w:rPr>
                <w:rFonts w:hint="default" w:ascii="Times New Roman" w:hAnsi="Times New Roman" w:eastAsia="仿宋_GB2312" w:cs="Times New Roman"/>
                <w:spacing w:val="-12"/>
                <w:highlight w:val="none"/>
              </w:rPr>
              <w:t>月</w:t>
            </w:r>
            <w:r>
              <w:rPr>
                <w:rFonts w:hint="default" w:ascii="Times New Roman" w:hAnsi="Times New Roman" w:eastAsia="仿宋_GB2312" w:cs="Times New Roman"/>
                <w:spacing w:val="-34"/>
                <w:highlight w:val="none"/>
              </w:rPr>
              <w:t xml:space="preserve"> </w:t>
            </w:r>
            <w:r>
              <w:rPr>
                <w:rFonts w:hint="default" w:ascii="Times New Roman" w:hAnsi="Times New Roman" w:eastAsia="仿宋_GB2312" w:cs="Times New Roman"/>
                <w:spacing w:val="-12"/>
                <w:highlight w:val="none"/>
              </w:rPr>
              <w:t>1</w:t>
            </w:r>
            <w:r>
              <w:rPr>
                <w:rFonts w:hint="default" w:ascii="Times New Roman" w:hAnsi="Times New Roman" w:eastAsia="仿宋_GB2312" w:cs="Times New Roman"/>
                <w:spacing w:val="-12"/>
                <w:highlight w:val="none"/>
                <w:lang w:val="en-US" w:eastAsia="zh-CN"/>
              </w:rPr>
              <w:t>0</w:t>
            </w:r>
            <w:r>
              <w:rPr>
                <w:rFonts w:hint="default" w:ascii="Times New Roman" w:hAnsi="Times New Roman" w:eastAsia="仿宋_GB2312" w:cs="Times New Roman"/>
                <w:spacing w:val="-12"/>
                <w:highlight w:val="none"/>
              </w:rPr>
              <w:t xml:space="preserve"> 日-1</w:t>
            </w:r>
            <w:r>
              <w:rPr>
                <w:rFonts w:hint="default" w:ascii="Times New Roman" w:hAnsi="Times New Roman" w:eastAsia="仿宋_GB2312" w:cs="Times New Roman"/>
                <w:spacing w:val="-12"/>
                <w:highlight w:val="none"/>
                <w:lang w:val="en-US" w:eastAsia="zh-CN"/>
              </w:rPr>
              <w:t>0</w:t>
            </w:r>
            <w:r>
              <w:rPr>
                <w:rFonts w:hint="default" w:ascii="Times New Roman" w:hAnsi="Times New Roman" w:eastAsia="仿宋_GB2312" w:cs="Times New Roman"/>
                <w:spacing w:val="-33"/>
                <w:highlight w:val="none"/>
              </w:rPr>
              <w:t xml:space="preserve"> </w:t>
            </w:r>
            <w:r>
              <w:rPr>
                <w:rFonts w:hint="default" w:ascii="Times New Roman" w:hAnsi="Times New Roman" w:eastAsia="仿宋_GB2312" w:cs="Times New Roman"/>
                <w:spacing w:val="-12"/>
                <w:highlight w:val="none"/>
              </w:rPr>
              <w:t>月</w:t>
            </w:r>
            <w:r>
              <w:rPr>
                <w:rFonts w:hint="default" w:ascii="Times New Roman" w:hAnsi="Times New Roman" w:eastAsia="仿宋_GB2312" w:cs="Times New Roman"/>
                <w:spacing w:val="-34"/>
                <w:highlight w:val="none"/>
              </w:rPr>
              <w:t xml:space="preserve"> </w:t>
            </w:r>
            <w:r>
              <w:rPr>
                <w:rFonts w:hint="default" w:ascii="Times New Roman" w:hAnsi="Times New Roman" w:eastAsia="仿宋_GB2312" w:cs="Times New Roman"/>
                <w:spacing w:val="-12"/>
                <w:highlight w:val="none"/>
                <w:lang w:val="en-US" w:eastAsia="zh-CN"/>
              </w:rPr>
              <w:t>20</w:t>
            </w:r>
            <w:r>
              <w:rPr>
                <w:rFonts w:hint="default" w:ascii="Times New Roman" w:hAnsi="Times New Roman" w:eastAsia="仿宋_GB2312" w:cs="Times New Roman"/>
                <w:spacing w:val="7"/>
                <w:highlight w:val="none"/>
              </w:rPr>
              <w:t xml:space="preserve"> </w:t>
            </w:r>
            <w:r>
              <w:rPr>
                <w:rFonts w:hint="default" w:ascii="Times New Roman" w:hAnsi="Times New Roman" w:eastAsia="仿宋_GB2312" w:cs="Times New Roman"/>
                <w:spacing w:val="-12"/>
                <w:highlight w:val="none"/>
              </w:rPr>
              <w:t>日</w:t>
            </w:r>
          </w:p>
        </w:tc>
        <w:tc>
          <w:tcPr>
            <w:tcW w:w="4532" w:type="dxa"/>
            <w:vAlign w:val="center"/>
          </w:tcPr>
          <w:p w14:paraId="1BCA2055">
            <w:pPr>
              <w:pStyle w:val="9"/>
              <w:spacing w:before="147" w:line="220" w:lineRule="auto"/>
              <w:ind w:left="120"/>
              <w:jc w:val="center"/>
              <w:rPr>
                <w:rFonts w:ascii="Times New Roman" w:hAnsi="Times New Roman" w:eastAsia="仿宋_GB2312"/>
                <w:highlight w:val="none"/>
              </w:rPr>
            </w:pPr>
            <w:r>
              <w:rPr>
                <w:rFonts w:ascii="Times New Roman" w:hAnsi="Times New Roman" w:eastAsia="仿宋_GB2312"/>
                <w:spacing w:val="-2"/>
                <w:highlight w:val="none"/>
              </w:rPr>
              <w:t>文本检查、专家评选</w:t>
            </w:r>
          </w:p>
        </w:tc>
      </w:tr>
      <w:tr w14:paraId="73F26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4532" w:type="dxa"/>
            <w:vAlign w:val="center"/>
          </w:tcPr>
          <w:p w14:paraId="696E42B1">
            <w:pPr>
              <w:pStyle w:val="9"/>
              <w:spacing w:before="150" w:line="218" w:lineRule="auto"/>
              <w:ind w:left="119"/>
              <w:jc w:val="center"/>
              <w:rPr>
                <w:rFonts w:hint="eastAsia" w:ascii="Times New Roman" w:hAnsi="Times New Roman" w:eastAsia="仿宋_GB2312" w:cs="Times New Roman"/>
                <w:highlight w:val="none"/>
                <w:lang w:val="en-US" w:eastAsia="zh-CN"/>
              </w:rPr>
            </w:pPr>
            <w:r>
              <w:rPr>
                <w:rFonts w:hint="default" w:ascii="Times New Roman" w:hAnsi="Times New Roman" w:eastAsia="仿宋_GB2312" w:cs="Times New Roman"/>
                <w:spacing w:val="-8"/>
                <w:highlight w:val="none"/>
              </w:rPr>
              <w:t>202</w:t>
            </w:r>
            <w:r>
              <w:rPr>
                <w:rFonts w:hint="default" w:ascii="Times New Roman" w:hAnsi="Times New Roman" w:eastAsia="仿宋_GB2312" w:cs="Times New Roman"/>
                <w:spacing w:val="-8"/>
                <w:highlight w:val="none"/>
                <w:lang w:val="en-US" w:eastAsia="zh-CN"/>
              </w:rPr>
              <w:t>5</w:t>
            </w:r>
            <w:r>
              <w:rPr>
                <w:rFonts w:hint="default" w:ascii="Times New Roman" w:hAnsi="Times New Roman" w:eastAsia="仿宋_GB2312" w:cs="Times New Roman"/>
                <w:spacing w:val="-35"/>
                <w:highlight w:val="none"/>
              </w:rPr>
              <w:t xml:space="preserve"> </w:t>
            </w:r>
            <w:r>
              <w:rPr>
                <w:rFonts w:hint="default" w:ascii="Times New Roman" w:hAnsi="Times New Roman" w:eastAsia="仿宋_GB2312" w:cs="Times New Roman"/>
                <w:spacing w:val="-8"/>
                <w:highlight w:val="none"/>
              </w:rPr>
              <w:t>年</w:t>
            </w:r>
            <w:r>
              <w:rPr>
                <w:rFonts w:hint="default" w:ascii="Times New Roman" w:hAnsi="Times New Roman" w:eastAsia="仿宋_GB2312" w:cs="Times New Roman"/>
                <w:spacing w:val="-34"/>
                <w:highlight w:val="none"/>
              </w:rPr>
              <w:t xml:space="preserve"> </w:t>
            </w:r>
            <w:r>
              <w:rPr>
                <w:rFonts w:hint="default" w:ascii="Times New Roman" w:hAnsi="Times New Roman" w:eastAsia="仿宋_GB2312" w:cs="Times New Roman"/>
                <w:spacing w:val="-8"/>
                <w:highlight w:val="none"/>
              </w:rPr>
              <w:t>11</w:t>
            </w:r>
            <w:r>
              <w:rPr>
                <w:rFonts w:hint="default" w:ascii="Times New Roman" w:hAnsi="Times New Roman" w:eastAsia="仿宋_GB2312" w:cs="Times New Roman"/>
                <w:spacing w:val="-33"/>
                <w:highlight w:val="none"/>
              </w:rPr>
              <w:t xml:space="preserve"> </w:t>
            </w:r>
            <w:r>
              <w:rPr>
                <w:rFonts w:hint="default" w:ascii="Times New Roman" w:hAnsi="Times New Roman" w:eastAsia="仿宋_GB2312" w:cs="Times New Roman"/>
                <w:spacing w:val="-8"/>
                <w:highlight w:val="none"/>
              </w:rPr>
              <w:t>月</w:t>
            </w:r>
            <w:r>
              <w:rPr>
                <w:rFonts w:hint="default" w:ascii="Times New Roman" w:hAnsi="Times New Roman" w:eastAsia="仿宋_GB2312" w:cs="Times New Roman"/>
                <w:spacing w:val="-48"/>
                <w:highlight w:val="none"/>
              </w:rPr>
              <w:t xml:space="preserve"> </w:t>
            </w:r>
            <w:r>
              <w:rPr>
                <w:rFonts w:hint="default" w:ascii="Times New Roman" w:hAnsi="Times New Roman" w:eastAsia="仿宋_GB2312" w:cs="Times New Roman"/>
                <w:spacing w:val="-8"/>
                <w:highlight w:val="none"/>
                <w:lang w:val="en-US" w:eastAsia="zh-CN"/>
              </w:rPr>
              <w:t>1</w:t>
            </w:r>
            <w:r>
              <w:rPr>
                <w:rFonts w:hint="default" w:ascii="Times New Roman" w:hAnsi="Times New Roman" w:eastAsia="仿宋_GB2312" w:cs="Times New Roman"/>
                <w:spacing w:val="-8"/>
                <w:highlight w:val="none"/>
              </w:rPr>
              <w:t xml:space="preserve"> 日</w:t>
            </w:r>
            <w:r>
              <w:rPr>
                <w:rFonts w:hint="eastAsia" w:ascii="Times New Roman" w:hAnsi="Times New Roman" w:eastAsia="仿宋_GB2312" w:cs="Times New Roman"/>
                <w:spacing w:val="-8"/>
                <w:highlight w:val="none"/>
                <w:lang w:val="en-US" w:eastAsia="zh-CN"/>
              </w:rPr>
              <w:t>上午</w:t>
            </w:r>
          </w:p>
        </w:tc>
        <w:tc>
          <w:tcPr>
            <w:tcW w:w="4532" w:type="dxa"/>
            <w:vAlign w:val="center"/>
          </w:tcPr>
          <w:p w14:paraId="64F31E8E">
            <w:pPr>
              <w:pStyle w:val="9"/>
              <w:spacing w:before="150" w:line="218" w:lineRule="auto"/>
              <w:ind w:left="132"/>
              <w:jc w:val="center"/>
              <w:rPr>
                <w:rFonts w:ascii="Times New Roman" w:hAnsi="Times New Roman" w:eastAsia="仿宋_GB2312"/>
                <w:highlight w:val="none"/>
              </w:rPr>
            </w:pPr>
            <w:r>
              <w:rPr>
                <w:rFonts w:ascii="Times New Roman" w:hAnsi="Times New Roman" w:eastAsia="仿宋_GB2312"/>
                <w:spacing w:val="-14"/>
                <w:highlight w:val="none"/>
              </w:rPr>
              <w:t>复赛</w:t>
            </w:r>
          </w:p>
        </w:tc>
      </w:tr>
      <w:tr w14:paraId="043D6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4532" w:type="dxa"/>
            <w:vAlign w:val="center"/>
          </w:tcPr>
          <w:p w14:paraId="209B9E15">
            <w:pPr>
              <w:pStyle w:val="9"/>
              <w:spacing w:before="150" w:line="221" w:lineRule="auto"/>
              <w:ind w:left="119"/>
              <w:jc w:val="center"/>
              <w:rPr>
                <w:rFonts w:hint="eastAsia" w:ascii="Times New Roman" w:hAnsi="Times New Roman" w:eastAsia="仿宋_GB2312" w:cs="Times New Roman"/>
                <w:highlight w:val="none"/>
                <w:lang w:val="en-US" w:eastAsia="zh-CN"/>
              </w:rPr>
            </w:pPr>
            <w:r>
              <w:rPr>
                <w:rFonts w:hint="default" w:ascii="Times New Roman" w:hAnsi="Times New Roman" w:eastAsia="仿宋_GB2312" w:cs="Times New Roman"/>
                <w:spacing w:val="-8"/>
                <w:highlight w:val="none"/>
              </w:rPr>
              <w:t>202</w:t>
            </w:r>
            <w:r>
              <w:rPr>
                <w:rFonts w:hint="default" w:ascii="Times New Roman" w:hAnsi="Times New Roman" w:eastAsia="仿宋_GB2312" w:cs="Times New Roman"/>
                <w:spacing w:val="-8"/>
                <w:highlight w:val="none"/>
                <w:lang w:val="en-US" w:eastAsia="zh-CN"/>
              </w:rPr>
              <w:t>5</w:t>
            </w:r>
            <w:r>
              <w:rPr>
                <w:rFonts w:hint="default" w:ascii="Times New Roman" w:hAnsi="Times New Roman" w:eastAsia="仿宋_GB2312" w:cs="Times New Roman"/>
                <w:spacing w:val="-35"/>
                <w:highlight w:val="none"/>
              </w:rPr>
              <w:t xml:space="preserve"> </w:t>
            </w:r>
            <w:r>
              <w:rPr>
                <w:rFonts w:hint="default" w:ascii="Times New Roman" w:hAnsi="Times New Roman" w:eastAsia="仿宋_GB2312" w:cs="Times New Roman"/>
                <w:spacing w:val="-8"/>
                <w:highlight w:val="none"/>
              </w:rPr>
              <w:t>年</w:t>
            </w:r>
            <w:r>
              <w:rPr>
                <w:rFonts w:hint="default" w:ascii="Times New Roman" w:hAnsi="Times New Roman" w:eastAsia="仿宋_GB2312" w:cs="Times New Roman"/>
                <w:spacing w:val="-34"/>
                <w:highlight w:val="none"/>
              </w:rPr>
              <w:t xml:space="preserve"> </w:t>
            </w:r>
            <w:r>
              <w:rPr>
                <w:rFonts w:hint="default" w:ascii="Times New Roman" w:hAnsi="Times New Roman" w:eastAsia="仿宋_GB2312" w:cs="Times New Roman"/>
                <w:spacing w:val="-8"/>
                <w:highlight w:val="none"/>
              </w:rPr>
              <w:t>11</w:t>
            </w:r>
            <w:r>
              <w:rPr>
                <w:rFonts w:hint="default" w:ascii="Times New Roman" w:hAnsi="Times New Roman" w:eastAsia="仿宋_GB2312" w:cs="Times New Roman"/>
                <w:spacing w:val="-33"/>
                <w:highlight w:val="none"/>
              </w:rPr>
              <w:t xml:space="preserve"> </w:t>
            </w:r>
            <w:r>
              <w:rPr>
                <w:rFonts w:hint="default" w:ascii="Times New Roman" w:hAnsi="Times New Roman" w:eastAsia="仿宋_GB2312" w:cs="Times New Roman"/>
                <w:spacing w:val="-8"/>
                <w:highlight w:val="none"/>
              </w:rPr>
              <w:t>月</w:t>
            </w:r>
            <w:r>
              <w:rPr>
                <w:rFonts w:hint="default" w:ascii="Times New Roman" w:hAnsi="Times New Roman" w:eastAsia="仿宋_GB2312" w:cs="Times New Roman"/>
                <w:spacing w:val="-48"/>
                <w:highlight w:val="none"/>
              </w:rPr>
              <w:t xml:space="preserve"> </w:t>
            </w:r>
            <w:r>
              <w:rPr>
                <w:rFonts w:hint="eastAsia" w:ascii="Times New Roman" w:hAnsi="Times New Roman" w:eastAsia="仿宋_GB2312" w:cs="Times New Roman"/>
                <w:spacing w:val="-8"/>
                <w:highlight w:val="none"/>
                <w:lang w:val="en-US" w:eastAsia="zh-CN"/>
              </w:rPr>
              <w:t>1</w:t>
            </w:r>
            <w:r>
              <w:rPr>
                <w:rFonts w:hint="default" w:ascii="Times New Roman" w:hAnsi="Times New Roman" w:eastAsia="仿宋_GB2312" w:cs="Times New Roman"/>
                <w:spacing w:val="-8"/>
                <w:highlight w:val="none"/>
              </w:rPr>
              <w:t xml:space="preserve"> 日</w:t>
            </w:r>
            <w:r>
              <w:rPr>
                <w:rFonts w:hint="eastAsia" w:ascii="Times New Roman" w:hAnsi="Times New Roman" w:eastAsia="仿宋_GB2312" w:cs="Times New Roman"/>
                <w:spacing w:val="-8"/>
                <w:highlight w:val="none"/>
                <w:lang w:val="en-US" w:eastAsia="zh-CN"/>
              </w:rPr>
              <w:t>晚上</w:t>
            </w:r>
          </w:p>
        </w:tc>
        <w:tc>
          <w:tcPr>
            <w:tcW w:w="4532" w:type="dxa"/>
            <w:vAlign w:val="center"/>
          </w:tcPr>
          <w:p w14:paraId="730D1148">
            <w:pPr>
              <w:pStyle w:val="9"/>
              <w:spacing w:before="150" w:line="221" w:lineRule="auto"/>
              <w:ind w:left="121"/>
              <w:jc w:val="center"/>
              <w:rPr>
                <w:rFonts w:ascii="Times New Roman" w:hAnsi="Times New Roman" w:eastAsia="仿宋_GB2312"/>
                <w:highlight w:val="none"/>
              </w:rPr>
            </w:pPr>
            <w:r>
              <w:rPr>
                <w:rFonts w:ascii="Times New Roman" w:hAnsi="Times New Roman" w:eastAsia="仿宋_GB2312"/>
                <w:spacing w:val="-9"/>
                <w:highlight w:val="none"/>
              </w:rPr>
              <w:t>决赛</w:t>
            </w:r>
          </w:p>
        </w:tc>
      </w:tr>
    </w:tbl>
    <w:p w14:paraId="2284FBE9">
      <w:pPr>
        <w:bidi w:val="0"/>
        <w:rPr>
          <w:highlight w:val="none"/>
        </w:rPr>
      </w:pPr>
      <w:r>
        <w:t>赛场设在湖南</w:t>
      </w:r>
      <w:r>
        <w:rPr>
          <w:rFonts w:hint="eastAsia"/>
          <w:lang w:val="en-US" w:eastAsia="zh-CN"/>
        </w:rPr>
        <w:t>农业</w:t>
      </w:r>
      <w:r>
        <w:t>大学，具体时间地点另行通知。</w:t>
      </w:r>
    </w:p>
    <w:p w14:paraId="538D9E9E">
      <w:pPr>
        <w:pStyle w:val="2"/>
        <w:bidi w:val="0"/>
      </w:pPr>
      <w:r>
        <w:t>七、奖项设置</w:t>
      </w:r>
    </w:p>
    <w:p w14:paraId="4692122C">
      <w:pPr>
        <w:bidi w:val="0"/>
      </w:pPr>
      <w:r>
        <w:t>大</w:t>
      </w:r>
      <w:r>
        <w:rPr>
          <w:rFonts w:hint="default"/>
        </w:rPr>
        <w:t>赛</w:t>
      </w:r>
      <w:r>
        <w:rPr>
          <w:rFonts w:hint="eastAsia"/>
          <w:lang w:val="en-US" w:eastAsia="zh-CN"/>
        </w:rPr>
        <w:t>设</w:t>
      </w:r>
      <w:r>
        <w:rPr>
          <w:rFonts w:hint="default"/>
        </w:rPr>
        <w:t>一等奖4项、二等奖</w:t>
      </w:r>
      <w:r>
        <w:rPr>
          <w:rFonts w:hint="eastAsia"/>
          <w:lang w:val="en-US" w:eastAsia="zh-CN"/>
        </w:rPr>
        <w:t>10</w:t>
      </w:r>
      <w:r>
        <w:rPr>
          <w:rFonts w:hint="default"/>
        </w:rPr>
        <w:t>项、三等奖数量为有效参赛队伍数的</w:t>
      </w:r>
      <w:r>
        <w:rPr>
          <w:rFonts w:hint="eastAsia"/>
          <w:lang w:val="en-US" w:eastAsia="zh-CN"/>
        </w:rPr>
        <w:t>30</w:t>
      </w:r>
      <w:r>
        <w:rPr>
          <w:rFonts w:hint="default"/>
        </w:rPr>
        <w:t>%</w:t>
      </w:r>
      <w:r>
        <w:rPr>
          <w:rFonts w:hint="default"/>
          <w:lang w:eastAsia="zh-CN"/>
        </w:rPr>
        <w:t>。</w:t>
      </w:r>
      <w:r>
        <w:rPr>
          <w:rFonts w:hint="default"/>
        </w:rPr>
        <w:t>原则上获一等奖的参赛作品指导教师评为优秀指导教师，另设最有价值队员</w:t>
      </w:r>
      <w:r>
        <w:rPr>
          <w:rFonts w:hint="eastAsia"/>
          <w:lang w:val="en-US" w:eastAsia="zh-CN"/>
        </w:rPr>
        <w:t>6</w:t>
      </w:r>
      <w:r>
        <w:rPr>
          <w:rFonts w:hint="default"/>
        </w:rPr>
        <w:t>项、优秀组织单位奖4</w:t>
      </w:r>
      <w:r>
        <w:t>项。对获奖团队及个人发放奖杯、奖金和获奖证书。</w:t>
      </w:r>
    </w:p>
    <w:p w14:paraId="2A44046B">
      <w:pPr>
        <w:pStyle w:val="2"/>
        <w:bidi w:val="0"/>
      </w:pPr>
      <w:r>
        <w:t>八、其他要求</w:t>
      </w:r>
    </w:p>
    <w:p w14:paraId="73F01CDE">
      <w:pPr>
        <w:pStyle w:val="3"/>
        <w:bidi w:val="0"/>
        <w:rPr>
          <w:highlight w:val="none"/>
        </w:rPr>
      </w:pPr>
      <w:r>
        <w:t>（一）案例正文要求</w:t>
      </w:r>
    </w:p>
    <w:p w14:paraId="73F85060">
      <w:pPr>
        <w:bidi w:val="0"/>
      </w:pPr>
      <w:r>
        <w:t>案例正文一般应包括：标题、案例摘要、引言、正文、结束语、附录等部分（为便于评选，请将附录放在案例分析报告之后）。</w:t>
      </w:r>
    </w:p>
    <w:p w14:paraId="2AE60262">
      <w:pPr>
        <w:bidi w:val="0"/>
      </w:pPr>
      <w:r>
        <w:t>案例一定要基于真实事件。案例正文要对事件进行完整描述，要突出真实性、代表性和冲突性，要有核心人物或决策者，推出关键事件，引出争议点。通过陈述令核心人物或决策者感到迷惑或难以决断的事情，展现事件发展或决策的制约因素和困境。</w:t>
      </w:r>
    </w:p>
    <w:p w14:paraId="5ADF849F">
      <w:pPr>
        <w:bidi w:val="0"/>
        <w:rPr>
          <w:highlight w:val="none"/>
        </w:rPr>
      </w:pPr>
      <w:r>
        <w:t>案例正文不超过</w:t>
      </w:r>
      <w:r>
        <w:rPr>
          <w:rFonts w:hint="eastAsia"/>
          <w:lang w:val="en-US" w:eastAsia="zh-CN"/>
        </w:rPr>
        <w:t xml:space="preserve"> </w:t>
      </w:r>
      <w:r>
        <w:t>15000 字。请在案例正文结尾处准确标明正文字数，图片、脚注、尾注及附录等内容不计入正文字数，正文字数超过 15000 字者不能通过文本检查。</w:t>
      </w:r>
    </w:p>
    <w:p w14:paraId="4EAD2F32">
      <w:pPr>
        <w:pStyle w:val="3"/>
        <w:bidi w:val="0"/>
      </w:pPr>
      <w:r>
        <w:t>（二）案例分析要求</w:t>
      </w:r>
    </w:p>
    <w:p w14:paraId="249936BA">
      <w:pPr>
        <w:bidi w:val="0"/>
      </w:pPr>
      <w:r>
        <w:t>参赛案例须提供分析报告，分析报告置于案例正文之后，另起一页，存在同一文档内。</w:t>
      </w:r>
    </w:p>
    <w:p w14:paraId="18E19048">
      <w:pPr>
        <w:bidi w:val="0"/>
        <w:rPr>
          <w:highlight w:val="none"/>
        </w:rPr>
      </w:pPr>
      <w:r>
        <w:t>分析报告要运用公共管理有关理论和方法，分析相关背景和决策要素，提出具有可行性和创新性的解决思路或方案。案例分析报告不超过 15000 字。请在分析报告结尾处准确标明正文字数，图片、脚注、尾注及附录等内容不计入正文字数，分析报告正文字 数超过 15000 字者不能通过文本检查。</w:t>
      </w:r>
    </w:p>
    <w:p w14:paraId="25057E6C">
      <w:pPr>
        <w:pStyle w:val="3"/>
        <w:bidi w:val="0"/>
        <w:rPr>
          <w:highlight w:val="none"/>
        </w:rPr>
      </w:pPr>
      <w:r>
        <w:t>（三）实地调研</w:t>
      </w:r>
    </w:p>
    <w:p w14:paraId="7091A78F">
      <w:pPr>
        <w:bidi w:val="0"/>
      </w:pPr>
      <w:r>
        <w:t>参赛团队围绕选题进行实地调研，通过调查访谈，系统地收集一手资料，详细了解有关事件的发展过程、相关政策的制定和执行情况，剖析案例涉及的相关主体及利 益诉求，为案例正文和分析报告撰写奠定基础。</w:t>
      </w:r>
    </w:p>
    <w:p w14:paraId="5E7986BC">
      <w:pPr>
        <w:bidi w:val="0"/>
        <w:rPr>
          <w:highlight w:val="none"/>
        </w:rPr>
      </w:pPr>
      <w:r>
        <w:t>鼓励参赛队伍所在培养单位为参赛团队开展实地调研提供支持。</w:t>
      </w:r>
    </w:p>
    <w:p w14:paraId="63BB0138">
      <w:pPr>
        <w:pStyle w:val="3"/>
        <w:bidi w:val="0"/>
      </w:pPr>
      <w:r>
        <w:t>（四）案例重复率要求</w:t>
      </w:r>
    </w:p>
    <w:p w14:paraId="517BCD8E">
      <w:pPr>
        <w:bidi w:val="0"/>
        <w:rPr>
          <w:highlight w:val="none"/>
        </w:rPr>
      </w:pPr>
      <w:r>
        <w:t>参赛案例正文和分析报告置于同一文档内检测。参赛案例的文本重复率不得超过 10%（去除引用部分后），检测结果以CNKI 学术不端文献检测系统检测结果为准。</w:t>
      </w:r>
    </w:p>
    <w:p w14:paraId="346769C5">
      <w:pPr>
        <w:pStyle w:val="3"/>
        <w:bidi w:val="0"/>
        <w:rPr>
          <w:highlight w:val="none"/>
        </w:rPr>
      </w:pPr>
      <w:r>
        <w:t>（五）其他赛事案例参赛要求</w:t>
      </w:r>
    </w:p>
    <w:p w14:paraId="417308F1">
      <w:pPr>
        <w:bidi w:val="0"/>
      </w:pPr>
      <w:r>
        <w:t>参加过其他类型的案例比赛的案例，如未被公开相关信息（通过互联网无法检索到该案例或团队的参赛院校、指导教师、团队成员等，不会影响双向匿名评选的工作安排），可以参加中国研究生公共管理案例大赛。否则不允许参赛。</w:t>
      </w:r>
    </w:p>
    <w:p w14:paraId="0C0F2F95">
      <w:pPr>
        <w:pStyle w:val="2"/>
        <w:bidi w:val="0"/>
      </w:pPr>
      <w:r>
        <w:t>九、联系方式</w:t>
      </w:r>
    </w:p>
    <w:p w14:paraId="32C823A0">
      <w:pPr>
        <w:bidi w:val="0"/>
      </w:pPr>
      <w:r>
        <w:t>联系人：</w:t>
      </w:r>
      <w:r>
        <w:rPr>
          <w:rFonts w:hint="eastAsia"/>
        </w:rPr>
        <w:t>湖南农业大学公共管理与法学学院 周丽娟、马珺</w:t>
      </w:r>
    </w:p>
    <w:p w14:paraId="644E1FBD">
      <w:pPr>
        <w:bidi w:val="0"/>
        <w:rPr>
          <w:rFonts w:hint="default"/>
        </w:rPr>
      </w:pPr>
      <w:r>
        <w:t>联系电话：</w:t>
      </w:r>
      <w:r>
        <w:rPr>
          <w:rFonts w:hint="default"/>
        </w:rPr>
        <w:t>0731-84618504，13657437517，18202720156</w:t>
      </w:r>
    </w:p>
    <w:p w14:paraId="728045CD">
      <w:pPr>
        <w:bidi w:val="0"/>
        <w:rPr>
          <w:rFonts w:hint="default"/>
        </w:rPr>
      </w:pPr>
      <w:r>
        <w:rPr>
          <w:rFonts w:hint="default"/>
        </w:rPr>
        <w:t>联系地址：湖南省长沙市芙蓉区农大路1号湖南农业大学第十教学楼北309办公室</w:t>
      </w:r>
    </w:p>
    <w:p w14:paraId="241F03E0">
      <w:pPr>
        <w:bidi w:val="0"/>
        <w:rPr>
          <w:rFonts w:hint="default"/>
        </w:rPr>
      </w:pPr>
      <w:r>
        <w:rPr>
          <w:rFonts w:hint="default"/>
        </w:rPr>
        <w:t>电子邮箱：gfy@hunau.edu.cn</w:t>
      </w:r>
    </w:p>
    <w:p w14:paraId="6478F17A">
      <w:pPr>
        <w:bidi w:val="0"/>
        <w:rPr>
          <w:rFonts w:hint="eastAsia"/>
          <w:lang w:val="en-US" w:eastAsia="zh-CN"/>
        </w:rPr>
      </w:pPr>
      <w:r>
        <w:rPr>
          <w:rFonts w:hint="default"/>
        </w:rPr>
        <w:t>QQ 群：</w:t>
      </w:r>
      <w:r>
        <w:rPr>
          <w:rFonts w:hint="eastAsia"/>
          <w:lang w:val="en-US" w:eastAsia="zh-CN"/>
        </w:rPr>
        <w:t>162540169</w:t>
      </w:r>
    </w:p>
    <w:p w14:paraId="53DA9198">
      <w:pPr>
        <w:pStyle w:val="4"/>
        <w:spacing w:before="159" w:line="222" w:lineRule="auto"/>
        <w:ind w:left="118"/>
        <w:jc w:val="center"/>
        <w:rPr>
          <w:rFonts w:hint="eastAsia" w:ascii="Times New Roman" w:hAnsi="Times New Roman" w:cs="Times New Roman"/>
          <w:spacing w:val="-2"/>
          <w:highlight w:val="none"/>
          <w:lang w:val="en-US" w:eastAsia="zh-CN"/>
        </w:rPr>
      </w:pPr>
      <w:r>
        <w:rPr>
          <w:highlight w:val="none"/>
        </w:rPr>
        <w:drawing>
          <wp:inline distT="0" distB="0" distL="114300" distR="114300">
            <wp:extent cx="1817370" cy="2254250"/>
            <wp:effectExtent l="0" t="0" r="1143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1817370" cy="2254250"/>
                    </a:xfrm>
                    <a:prstGeom prst="rect">
                      <a:avLst/>
                    </a:prstGeom>
                    <a:noFill/>
                    <a:ln>
                      <a:noFill/>
                    </a:ln>
                  </pic:spPr>
                </pic:pic>
              </a:graphicData>
            </a:graphic>
          </wp:inline>
        </w:drawing>
      </w:r>
    </w:p>
    <w:sectPr>
      <w:footerReference r:id="rId5" w:type="default"/>
      <w:pgSz w:w="11906" w:h="16839"/>
      <w:pgMar w:top="1701" w:right="1474" w:bottom="1587" w:left="1587" w:header="850" w:footer="1191"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F2D2F">
    <w:pPr>
      <w:spacing w:line="181" w:lineRule="auto"/>
      <w:jc w:val="right"/>
      <w:rPr>
        <w:rFonts w:ascii="Times New Roman" w:hAnsi="Times New Roman" w:eastAsia="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DdmY2VlMzJhZDNjOWMwYWE0YWI0NWE1NWUzNTExM2QifQ=="/>
    <w:docVar w:name="KSO_WPS_MARK_KEY" w:val="e80377ad-0352-4f9c-9e83-cad8e90bf6c3"/>
  </w:docVars>
  <w:rsids>
    <w:rsidRoot w:val="00000000"/>
    <w:rsid w:val="02307D21"/>
    <w:rsid w:val="082F0F7A"/>
    <w:rsid w:val="19F139BB"/>
    <w:rsid w:val="1BBB5C93"/>
    <w:rsid w:val="20ED750E"/>
    <w:rsid w:val="26FF0F07"/>
    <w:rsid w:val="2C216679"/>
    <w:rsid w:val="35747E49"/>
    <w:rsid w:val="3AC32CD9"/>
    <w:rsid w:val="41154744"/>
    <w:rsid w:val="42CA11CF"/>
    <w:rsid w:val="49804BB7"/>
    <w:rsid w:val="49EC2E31"/>
    <w:rsid w:val="4B1E0DCD"/>
    <w:rsid w:val="4DDB2425"/>
    <w:rsid w:val="61FE3626"/>
    <w:rsid w:val="66677C0F"/>
    <w:rsid w:val="69642246"/>
    <w:rsid w:val="697E141D"/>
    <w:rsid w:val="6BFE10F3"/>
    <w:rsid w:val="6D0019E7"/>
    <w:rsid w:val="6D8859EB"/>
    <w:rsid w:val="6FFC072A"/>
    <w:rsid w:val="718030F6"/>
    <w:rsid w:val="75524DAA"/>
    <w:rsid w:val="79D97847"/>
    <w:rsid w:val="7A291115"/>
    <w:rsid w:val="7C8743FB"/>
    <w:rsid w:val="7CA85B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560" w:lineRule="exact"/>
      <w:ind w:firstLine="654" w:firstLineChars="200"/>
      <w:jc w:val="both"/>
      <w:textAlignment w:val="baseline"/>
    </w:pPr>
    <w:rPr>
      <w:rFonts w:ascii="Times New Roman" w:hAnsi="Times New Roman" w:eastAsia="仿宋_GB2312" w:cs="Times New Roman"/>
      <w:snapToGrid w:val="0"/>
      <w:color w:val="000000"/>
      <w:kern w:val="0"/>
      <w:sz w:val="32"/>
      <w:szCs w:val="32"/>
      <w:lang w:val="en-US" w:eastAsia="en-US" w:bidi="ar-SA"/>
    </w:rPr>
  </w:style>
  <w:style w:type="paragraph" w:styleId="2">
    <w:name w:val="heading 1"/>
    <w:basedOn w:val="1"/>
    <w:next w:val="1"/>
    <w:qFormat/>
    <w:uiPriority w:val="0"/>
    <w:pPr>
      <w:keepNext/>
      <w:keepLines/>
      <w:spacing w:before="50" w:beforeLines="50" w:beforeAutospacing="0" w:after="50" w:afterLines="50" w:afterAutospacing="0" w:line="560" w:lineRule="exact"/>
      <w:outlineLvl w:val="0"/>
    </w:pPr>
    <w:rPr>
      <w:rFonts w:eastAsia="黑体"/>
      <w:kern w:val="44"/>
      <w:sz w:val="32"/>
    </w:rPr>
  </w:style>
  <w:style w:type="paragraph" w:styleId="3">
    <w:name w:val="heading 2"/>
    <w:basedOn w:val="1"/>
    <w:next w:val="1"/>
    <w:unhideWhenUsed/>
    <w:qFormat/>
    <w:uiPriority w:val="0"/>
    <w:pPr>
      <w:keepNext/>
      <w:keepLines/>
      <w:spacing w:beforeLines="0" w:beforeAutospacing="0" w:afterLines="0" w:afterAutospacing="0" w:line="560" w:lineRule="exact"/>
      <w:outlineLvl w:val="1"/>
    </w:pPr>
    <w:rPr>
      <w:rFonts w:ascii="Times New Roman" w:hAnsi="Times New Roman" w:eastAsia="楷体_GB2312"/>
      <w:b/>
      <w:bCs/>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24"/>
      <w:szCs w:val="24"/>
      <w:lang w:val="en-US" w:eastAsia="en-US"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仿宋" w:hAnsi="仿宋" w:eastAsia="仿宋" w:cs="仿宋"/>
      <w:sz w:val="24"/>
      <w:szCs w:val="24"/>
      <w:lang w:val="en-US" w:eastAsia="en-US" w:bidi="ar-SA"/>
    </w:rPr>
  </w:style>
  <w:style w:type="paragraph" w:customStyle="1" w:styleId="10">
    <w:name w:val="大标题"/>
    <w:basedOn w:val="1"/>
    <w:qFormat/>
    <w:uiPriority w:val="0"/>
    <w:pPr>
      <w:spacing w:before="150" w:beforeLines="150" w:after="50" w:afterLines="50" w:line="560" w:lineRule="exact"/>
      <w:ind w:left="11"/>
    </w:pPr>
    <w:rPr>
      <w:rFonts w:ascii="Times New Roman" w:hAnsi="Times New Roman" w:eastAsia="方正小标宋_GBK" w:cs="黑体"/>
      <w:spacing w:val="11"/>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1956</Words>
  <Characters>2082</Characters>
  <TotalTime>19</TotalTime>
  <ScaleCrop>false</ScaleCrop>
  <LinksUpToDate>false</LinksUpToDate>
  <CharactersWithSpaces>2120</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2024-09-10T16:59:00Z</dcterms:created>
  <dc:creator>Administrator</dc:creator>
  <cp:lastModifiedBy>WPS_1601947930</cp:lastModifiedBy>
  <dcterms:modified xsi:type="dcterms:W3CDTF">2025-09-01T11:12:27Z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2025-06-16T14:57:47Z</vt:filetime>
  </property>
  <property fmtid="{D5CDD505-2E9C-101B-9397-08002B2CF9AE}" pid="4" name="KSOProductBuildVer">
    <vt:lpwstr>2052-12.1.0.21915</vt:lpwstr>
  </property>
  <property fmtid="{D5CDD505-2E9C-101B-9397-08002B2CF9AE}" pid="5" name="ICV">
    <vt:lpwstr>92CAF8224504438994F158E0A758C17B_13</vt:lpwstr>
  </property>
  <property fmtid="{D5CDD505-2E9C-101B-9397-08002B2CF9AE}" pid="6" name="KSOTemplateDocerSaveRecord">
    <vt:lpwstr>eyJoZGlkIjoiZTI4MGUwNDM1M2YwODYyMzY3ZDAyMjA4YTE2N2RiYzUiLCJ1c2VySWQiOiI0MDAwMTMyOTYifQ==</vt:lpwstr>
  </property>
</Properties>
</file>